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3C" w:rsidRDefault="00D3063C" w:rsidP="00D3063C">
      <w:pPr>
        <w:spacing w:before="69"/>
        <w:ind w:left="1487" w:right="1365"/>
        <w:jc w:val="center"/>
        <w:rPr>
          <w:b/>
          <w:sz w:val="24"/>
        </w:rPr>
      </w:pPr>
      <w:r>
        <w:rPr>
          <w:b/>
          <w:sz w:val="24"/>
          <w:u w:val="thick"/>
        </w:rPr>
        <w:t>SGN TELECOMS LIMITED</w:t>
      </w:r>
    </w:p>
    <w:p w:rsidR="00607656" w:rsidRDefault="00607656">
      <w:pPr>
        <w:pStyle w:val="BodyText"/>
        <w:spacing w:before="5"/>
        <w:jc w:val="left"/>
        <w:rPr>
          <w:b/>
          <w:sz w:val="21"/>
        </w:rPr>
      </w:pPr>
    </w:p>
    <w:p w:rsidR="00607656" w:rsidRDefault="00D3063C">
      <w:pPr>
        <w:spacing w:before="1" w:line="275" w:lineRule="exact"/>
        <w:ind w:left="1212" w:right="1230"/>
        <w:jc w:val="center"/>
        <w:rPr>
          <w:b/>
          <w:sz w:val="24"/>
        </w:rPr>
      </w:pPr>
      <w:r>
        <w:rPr>
          <w:b/>
          <w:sz w:val="24"/>
        </w:rPr>
        <w:t>Code of Practices &amp; Procedures</w:t>
      </w:r>
    </w:p>
    <w:p w:rsidR="00607656" w:rsidRDefault="00D3063C">
      <w:pPr>
        <w:spacing w:line="275" w:lineRule="exact"/>
        <w:ind w:left="1214" w:right="1230"/>
        <w:jc w:val="center"/>
        <w:rPr>
          <w:b/>
          <w:sz w:val="24"/>
        </w:rPr>
      </w:pPr>
      <w:proofErr w:type="gramStart"/>
      <w:r>
        <w:rPr>
          <w:b/>
          <w:sz w:val="24"/>
        </w:rPr>
        <w:t>for</w:t>
      </w:r>
      <w:proofErr w:type="gramEnd"/>
      <w:r>
        <w:rPr>
          <w:b/>
          <w:sz w:val="24"/>
        </w:rPr>
        <w:t xml:space="preserve"> Fair Disclosure of Unpublished Price Sensitive Information</w:t>
      </w:r>
    </w:p>
    <w:p w:rsidR="00607656" w:rsidRDefault="00607656">
      <w:pPr>
        <w:pStyle w:val="BodyText"/>
        <w:spacing w:before="1"/>
        <w:jc w:val="left"/>
        <w:rPr>
          <w:b/>
          <w:sz w:val="28"/>
        </w:rPr>
      </w:pPr>
    </w:p>
    <w:p w:rsidR="00607656" w:rsidRDefault="00D3063C">
      <w:pPr>
        <w:spacing w:before="1"/>
        <w:ind w:left="863"/>
        <w:rPr>
          <w:i/>
          <w:sz w:val="24"/>
        </w:rPr>
      </w:pPr>
      <w:r>
        <w:rPr>
          <w:i/>
          <w:sz w:val="24"/>
        </w:rPr>
        <w:t>(As envisaged under SEBI (Prohibition of Insider Trading) Regulations,</w:t>
      </w:r>
      <w:r>
        <w:rPr>
          <w:i/>
          <w:spacing w:val="-30"/>
          <w:sz w:val="24"/>
        </w:rPr>
        <w:t xml:space="preserve"> </w:t>
      </w:r>
      <w:r>
        <w:rPr>
          <w:i/>
          <w:sz w:val="24"/>
        </w:rPr>
        <w:t>2015)</w:t>
      </w:r>
    </w:p>
    <w:p w:rsidR="00607656" w:rsidRDefault="00607656">
      <w:pPr>
        <w:pStyle w:val="BodyText"/>
        <w:jc w:val="left"/>
        <w:rPr>
          <w:i/>
          <w:sz w:val="26"/>
        </w:rPr>
      </w:pPr>
    </w:p>
    <w:p w:rsidR="00607656" w:rsidRDefault="00607656">
      <w:pPr>
        <w:pStyle w:val="BodyText"/>
        <w:spacing w:before="9"/>
        <w:jc w:val="left"/>
        <w:rPr>
          <w:i/>
          <w:sz w:val="21"/>
        </w:rPr>
      </w:pPr>
    </w:p>
    <w:p w:rsidR="00607656" w:rsidRDefault="00D3063C">
      <w:pPr>
        <w:pStyle w:val="Heading1"/>
        <w:numPr>
          <w:ilvl w:val="0"/>
          <w:numId w:val="1"/>
        </w:numPr>
        <w:tabs>
          <w:tab w:val="left" w:pos="652"/>
        </w:tabs>
        <w:jc w:val="left"/>
      </w:pPr>
      <w:r>
        <w:t>Prompt public disclosure of unpublished price sensitive</w:t>
      </w:r>
      <w:r>
        <w:rPr>
          <w:spacing w:val="-28"/>
        </w:rPr>
        <w:t xml:space="preserve"> </w:t>
      </w:r>
      <w:r>
        <w:t>information</w:t>
      </w:r>
    </w:p>
    <w:p w:rsidR="00607656" w:rsidRDefault="00607656">
      <w:pPr>
        <w:pStyle w:val="BodyText"/>
        <w:spacing w:before="10"/>
        <w:jc w:val="left"/>
        <w:rPr>
          <w:b/>
          <w:sz w:val="21"/>
        </w:rPr>
      </w:pPr>
    </w:p>
    <w:p w:rsidR="00607656" w:rsidRDefault="00D3063C">
      <w:pPr>
        <w:pStyle w:val="ListParagraph"/>
        <w:numPr>
          <w:ilvl w:val="1"/>
          <w:numId w:val="1"/>
        </w:numPr>
        <w:tabs>
          <w:tab w:val="left" w:pos="801"/>
        </w:tabs>
        <w:spacing w:line="273" w:lineRule="auto"/>
        <w:ind w:right="112"/>
        <w:rPr>
          <w:sz w:val="24"/>
        </w:rPr>
      </w:pPr>
      <w:r>
        <w:rPr>
          <w:sz w:val="24"/>
        </w:rPr>
        <w:t>The Board of Directors of the Company shall ensure prompt public disclosure of Unpublished Price Sensitive Information pursuant to this Code as required under the Regulations with an objective to make such information generally available in pu</w:t>
      </w:r>
      <w:r>
        <w:rPr>
          <w:sz w:val="24"/>
        </w:rPr>
        <w:t>blic domain.</w:t>
      </w:r>
    </w:p>
    <w:p w:rsidR="00607656" w:rsidRDefault="00D3063C">
      <w:pPr>
        <w:pStyle w:val="ListParagraph"/>
        <w:numPr>
          <w:ilvl w:val="1"/>
          <w:numId w:val="1"/>
        </w:numPr>
        <w:tabs>
          <w:tab w:val="left" w:pos="811"/>
        </w:tabs>
        <w:spacing w:before="211" w:line="271" w:lineRule="auto"/>
        <w:ind w:right="116"/>
        <w:rPr>
          <w:sz w:val="24"/>
        </w:rPr>
      </w:pPr>
      <w:r>
        <w:rPr>
          <w:sz w:val="24"/>
        </w:rPr>
        <w:t>The disclosure of Unpublished Price Sensitive Information shall be in a uniform manner and shall not be on selective</w:t>
      </w:r>
      <w:r>
        <w:rPr>
          <w:spacing w:val="4"/>
          <w:sz w:val="24"/>
        </w:rPr>
        <w:t xml:space="preserve"> </w:t>
      </w:r>
      <w:r>
        <w:rPr>
          <w:sz w:val="24"/>
        </w:rPr>
        <w:t>basis.</w:t>
      </w:r>
    </w:p>
    <w:p w:rsidR="00607656" w:rsidRDefault="00D3063C">
      <w:pPr>
        <w:pStyle w:val="ListParagraph"/>
        <w:numPr>
          <w:ilvl w:val="1"/>
          <w:numId w:val="1"/>
        </w:numPr>
        <w:tabs>
          <w:tab w:val="left" w:pos="868"/>
        </w:tabs>
        <w:spacing w:before="211" w:line="273" w:lineRule="auto"/>
        <w:ind w:right="116"/>
        <w:rPr>
          <w:sz w:val="24"/>
        </w:rPr>
      </w:pPr>
      <w:r>
        <w:rPr>
          <w:sz w:val="24"/>
        </w:rPr>
        <w:t>The Company shall disseminate all unpublished price sensitive information promptly and on a continuous basis to stock exchanges where its securities are listed and thereafter to the electronic or print media so as to make generally</w:t>
      </w:r>
      <w:r>
        <w:rPr>
          <w:spacing w:val="-12"/>
          <w:sz w:val="24"/>
        </w:rPr>
        <w:t xml:space="preserve"> </w:t>
      </w:r>
      <w:r>
        <w:rPr>
          <w:sz w:val="24"/>
        </w:rPr>
        <w:t>available.</w:t>
      </w:r>
    </w:p>
    <w:p w:rsidR="00607656" w:rsidRDefault="00D3063C">
      <w:pPr>
        <w:pStyle w:val="Heading1"/>
        <w:numPr>
          <w:ilvl w:val="0"/>
          <w:numId w:val="1"/>
        </w:numPr>
        <w:tabs>
          <w:tab w:val="left" w:pos="652"/>
        </w:tabs>
        <w:spacing w:before="199"/>
        <w:jc w:val="left"/>
      </w:pPr>
      <w:r>
        <w:t>Chief Investo</w:t>
      </w:r>
      <w:r>
        <w:t>rs Relations</w:t>
      </w:r>
      <w:r>
        <w:rPr>
          <w:spacing w:val="3"/>
        </w:rPr>
        <w:t xml:space="preserve"> </w:t>
      </w:r>
      <w:r>
        <w:t>Officer</w:t>
      </w:r>
    </w:p>
    <w:p w:rsidR="00607656" w:rsidRDefault="00607656">
      <w:pPr>
        <w:pStyle w:val="BodyText"/>
        <w:spacing w:before="5"/>
        <w:jc w:val="left"/>
        <w:rPr>
          <w:b/>
          <w:sz w:val="21"/>
        </w:rPr>
      </w:pPr>
    </w:p>
    <w:p w:rsidR="00607656" w:rsidRDefault="00D3063C">
      <w:pPr>
        <w:pStyle w:val="ListParagraph"/>
        <w:numPr>
          <w:ilvl w:val="1"/>
          <w:numId w:val="1"/>
        </w:numPr>
        <w:tabs>
          <w:tab w:val="left" w:pos="820"/>
        </w:tabs>
        <w:spacing w:line="276" w:lineRule="auto"/>
        <w:ind w:right="114"/>
        <w:rPr>
          <w:sz w:val="24"/>
        </w:rPr>
      </w:pPr>
      <w:r>
        <w:rPr>
          <w:sz w:val="24"/>
        </w:rPr>
        <w:t xml:space="preserve">Mr. </w:t>
      </w:r>
      <w:proofErr w:type="spellStart"/>
      <w:r>
        <w:rPr>
          <w:sz w:val="24"/>
        </w:rPr>
        <w:t>Surinder</w:t>
      </w:r>
      <w:proofErr w:type="spellEnd"/>
      <w:r>
        <w:rPr>
          <w:sz w:val="24"/>
        </w:rPr>
        <w:t xml:space="preserve"> Singh</w:t>
      </w:r>
      <w:r>
        <w:rPr>
          <w:sz w:val="24"/>
        </w:rPr>
        <w:t xml:space="preserve">, Managing </w:t>
      </w:r>
      <w:r>
        <w:rPr>
          <w:sz w:val="24"/>
        </w:rPr>
        <w:t>Director of the company shall act and designated as a Chief Investor Relations Officer of the Company and shall deal with dissemination and disclosure of unpublished price sensitive</w:t>
      </w:r>
      <w:r>
        <w:rPr>
          <w:spacing w:val="-6"/>
          <w:sz w:val="24"/>
        </w:rPr>
        <w:t xml:space="preserve"> </w:t>
      </w:r>
      <w:r>
        <w:rPr>
          <w:sz w:val="24"/>
        </w:rPr>
        <w:t>information.</w:t>
      </w:r>
    </w:p>
    <w:p w:rsidR="00607656" w:rsidRDefault="00D3063C">
      <w:pPr>
        <w:pStyle w:val="ListParagraph"/>
        <w:numPr>
          <w:ilvl w:val="1"/>
          <w:numId w:val="1"/>
        </w:numPr>
        <w:tabs>
          <w:tab w:val="left" w:pos="844"/>
        </w:tabs>
        <w:spacing w:before="200" w:line="276" w:lineRule="auto"/>
        <w:ind w:right="114"/>
        <w:rPr>
          <w:sz w:val="24"/>
        </w:rPr>
      </w:pPr>
      <w:r>
        <w:rPr>
          <w:sz w:val="24"/>
        </w:rPr>
        <w:t xml:space="preserve">Mr. </w:t>
      </w:r>
      <w:proofErr w:type="spellStart"/>
      <w:r>
        <w:rPr>
          <w:sz w:val="24"/>
        </w:rPr>
        <w:t>Surinder</w:t>
      </w:r>
      <w:proofErr w:type="spellEnd"/>
      <w:r>
        <w:rPr>
          <w:sz w:val="24"/>
        </w:rPr>
        <w:t xml:space="preserve"> Singh, Managing </w:t>
      </w:r>
      <w:r>
        <w:rPr>
          <w:sz w:val="24"/>
        </w:rPr>
        <w:t>Direc</w:t>
      </w:r>
      <w:r>
        <w:rPr>
          <w:sz w:val="24"/>
        </w:rPr>
        <w:t xml:space="preserve">tor of the company acting as Chief Investor Relations Officer shall discuss with </w:t>
      </w:r>
      <w:r>
        <w:rPr>
          <w:sz w:val="24"/>
        </w:rPr>
        <w:t xml:space="preserve">Director / Whole-time </w:t>
      </w:r>
      <w:proofErr w:type="gramStart"/>
      <w:r>
        <w:rPr>
          <w:sz w:val="24"/>
        </w:rPr>
        <w:t>Director &amp;</w:t>
      </w:r>
      <w:proofErr w:type="gramEnd"/>
      <w:r>
        <w:rPr>
          <w:sz w:val="24"/>
        </w:rPr>
        <w:t xml:space="preserve"> CFO depending upon the nature of sensitivity of the</w:t>
      </w:r>
      <w:r>
        <w:rPr>
          <w:spacing w:val="-6"/>
          <w:sz w:val="24"/>
        </w:rPr>
        <w:t xml:space="preserve"> </w:t>
      </w:r>
      <w:r>
        <w:rPr>
          <w:sz w:val="24"/>
        </w:rPr>
        <w:t>information.</w:t>
      </w:r>
    </w:p>
    <w:p w:rsidR="00607656" w:rsidRDefault="00D3063C">
      <w:pPr>
        <w:pStyle w:val="Heading1"/>
        <w:numPr>
          <w:ilvl w:val="0"/>
          <w:numId w:val="1"/>
        </w:numPr>
        <w:tabs>
          <w:tab w:val="left" w:pos="652"/>
        </w:tabs>
        <w:spacing w:before="191"/>
        <w:jc w:val="left"/>
      </w:pPr>
      <w:r>
        <w:t>Responding to Market</w:t>
      </w:r>
      <w:r>
        <w:rPr>
          <w:spacing w:val="5"/>
        </w:rPr>
        <w:t xml:space="preserve"> </w:t>
      </w:r>
      <w:proofErr w:type="spellStart"/>
      <w:r>
        <w:t>Rumours</w:t>
      </w:r>
      <w:proofErr w:type="spellEnd"/>
    </w:p>
    <w:p w:rsidR="00607656" w:rsidRDefault="00607656">
      <w:pPr>
        <w:pStyle w:val="BodyText"/>
        <w:spacing w:before="10"/>
        <w:jc w:val="left"/>
        <w:rPr>
          <w:b/>
          <w:sz w:val="21"/>
        </w:rPr>
      </w:pPr>
    </w:p>
    <w:p w:rsidR="00607656" w:rsidRDefault="00D3063C">
      <w:pPr>
        <w:pStyle w:val="ListParagraph"/>
        <w:numPr>
          <w:ilvl w:val="1"/>
          <w:numId w:val="1"/>
        </w:numPr>
        <w:tabs>
          <w:tab w:val="left" w:pos="840"/>
        </w:tabs>
        <w:spacing w:line="276" w:lineRule="auto"/>
        <w:ind w:right="122"/>
        <w:rPr>
          <w:sz w:val="24"/>
        </w:rPr>
      </w:pPr>
      <w:r>
        <w:rPr>
          <w:sz w:val="24"/>
        </w:rPr>
        <w:t>The Company will provide appropriate a</w:t>
      </w:r>
      <w:r>
        <w:rPr>
          <w:sz w:val="24"/>
        </w:rPr>
        <w:t xml:space="preserve">nd fair response to queries on news reports and requests for verification of market </w:t>
      </w:r>
      <w:proofErr w:type="spellStart"/>
      <w:r>
        <w:rPr>
          <w:sz w:val="24"/>
        </w:rPr>
        <w:t>rumours</w:t>
      </w:r>
      <w:proofErr w:type="spellEnd"/>
      <w:r>
        <w:rPr>
          <w:sz w:val="24"/>
        </w:rPr>
        <w:t xml:space="preserve"> received from the stock exchanges or other regulatory</w:t>
      </w:r>
      <w:r>
        <w:rPr>
          <w:spacing w:val="4"/>
          <w:sz w:val="24"/>
        </w:rPr>
        <w:t xml:space="preserve"> </w:t>
      </w:r>
      <w:r>
        <w:rPr>
          <w:sz w:val="24"/>
        </w:rPr>
        <w:t>authorities.</w:t>
      </w:r>
    </w:p>
    <w:p w:rsidR="00607656" w:rsidRDefault="00D3063C">
      <w:pPr>
        <w:pStyle w:val="ListParagraph"/>
        <w:numPr>
          <w:ilvl w:val="1"/>
          <w:numId w:val="1"/>
        </w:numPr>
        <w:tabs>
          <w:tab w:val="left" w:pos="830"/>
        </w:tabs>
        <w:spacing w:before="200" w:line="276" w:lineRule="auto"/>
        <w:ind w:right="116"/>
        <w:rPr>
          <w:sz w:val="24"/>
        </w:rPr>
      </w:pPr>
      <w:r>
        <w:rPr>
          <w:sz w:val="24"/>
        </w:rPr>
        <w:t>The Chief Investor Relations Officer shall on receipt of requests as aforesaid, consult the Manag</w:t>
      </w:r>
      <w:r>
        <w:rPr>
          <w:sz w:val="24"/>
        </w:rPr>
        <w:t xml:space="preserve">ing Director / Whole-time </w:t>
      </w:r>
      <w:proofErr w:type="gramStart"/>
      <w:r>
        <w:rPr>
          <w:sz w:val="24"/>
        </w:rPr>
        <w:t>Director &amp;</w:t>
      </w:r>
      <w:proofErr w:type="gramEnd"/>
      <w:r>
        <w:rPr>
          <w:sz w:val="24"/>
        </w:rPr>
        <w:t xml:space="preserve"> CFO and respond to the same without any</w:t>
      </w:r>
      <w:r>
        <w:rPr>
          <w:spacing w:val="-1"/>
          <w:sz w:val="24"/>
        </w:rPr>
        <w:t xml:space="preserve"> </w:t>
      </w:r>
      <w:r>
        <w:rPr>
          <w:sz w:val="24"/>
        </w:rPr>
        <w:t>delay.</w:t>
      </w:r>
    </w:p>
    <w:p w:rsidR="00607656" w:rsidRDefault="00607656">
      <w:pPr>
        <w:spacing w:line="276" w:lineRule="auto"/>
        <w:jc w:val="both"/>
        <w:rPr>
          <w:sz w:val="24"/>
        </w:rPr>
        <w:sectPr w:rsidR="00607656">
          <w:type w:val="continuous"/>
          <w:pgSz w:w="12240" w:h="15840"/>
          <w:pgMar w:top="1360" w:right="1320" w:bottom="280" w:left="1340" w:header="720" w:footer="720" w:gutter="0"/>
          <w:cols w:space="720"/>
        </w:sectPr>
      </w:pPr>
    </w:p>
    <w:p w:rsidR="00607656" w:rsidRDefault="00D3063C">
      <w:pPr>
        <w:pStyle w:val="Heading1"/>
        <w:numPr>
          <w:ilvl w:val="0"/>
          <w:numId w:val="1"/>
        </w:numPr>
        <w:tabs>
          <w:tab w:val="left" w:pos="686"/>
        </w:tabs>
        <w:spacing w:before="71" w:line="271" w:lineRule="auto"/>
        <w:ind w:left="383" w:right="117" w:firstLine="0"/>
        <w:jc w:val="both"/>
      </w:pPr>
      <w:proofErr w:type="gramStart"/>
      <w:r>
        <w:lastRenderedPageBreak/>
        <w:t>Disclosure / dissemination of unpublished price sensitive information with special reference to Analysis, Research Personnel and Institutional</w:t>
      </w:r>
      <w:r>
        <w:rPr>
          <w:spacing w:val="-20"/>
        </w:rPr>
        <w:t xml:space="preserve"> </w:t>
      </w:r>
      <w:r>
        <w:t>Investor.</w:t>
      </w:r>
      <w:proofErr w:type="gramEnd"/>
    </w:p>
    <w:p w:rsidR="00607656" w:rsidRDefault="00D3063C">
      <w:pPr>
        <w:pStyle w:val="ListParagraph"/>
        <w:numPr>
          <w:ilvl w:val="1"/>
          <w:numId w:val="1"/>
        </w:numPr>
        <w:tabs>
          <w:tab w:val="left" w:pos="787"/>
        </w:tabs>
        <w:spacing w:before="211"/>
        <w:ind w:left="786" w:hanging="404"/>
        <w:rPr>
          <w:sz w:val="24"/>
        </w:rPr>
      </w:pPr>
      <w:r>
        <w:rPr>
          <w:sz w:val="24"/>
          <w:u w:val="single"/>
        </w:rPr>
        <w:t>Sharing of Public Information</w:t>
      </w:r>
      <w:r>
        <w:rPr>
          <w:spacing w:val="-3"/>
          <w:sz w:val="24"/>
          <w:u w:val="single"/>
        </w:rPr>
        <w:t xml:space="preserve"> </w:t>
      </w:r>
      <w:r>
        <w:rPr>
          <w:sz w:val="24"/>
          <w:u w:val="single"/>
        </w:rPr>
        <w:t>:</w:t>
      </w:r>
    </w:p>
    <w:p w:rsidR="00607656" w:rsidRDefault="00607656">
      <w:pPr>
        <w:pStyle w:val="BodyText"/>
        <w:spacing w:before="6"/>
        <w:jc w:val="left"/>
        <w:rPr>
          <w:sz w:val="21"/>
        </w:rPr>
      </w:pPr>
    </w:p>
    <w:p w:rsidR="00607656" w:rsidRDefault="00D3063C">
      <w:pPr>
        <w:pStyle w:val="BodyText"/>
        <w:spacing w:line="273" w:lineRule="auto"/>
        <w:ind w:left="383" w:right="113"/>
      </w:pPr>
      <w:r>
        <w:t>The Directors, Officers, and Employees of the Company shall provide only public information to the analysts / research personnel / large investors like financial institutions, private equity etc.</w:t>
      </w:r>
    </w:p>
    <w:p w:rsidR="00607656" w:rsidRDefault="00D3063C">
      <w:pPr>
        <w:pStyle w:val="ListParagraph"/>
        <w:numPr>
          <w:ilvl w:val="1"/>
          <w:numId w:val="1"/>
        </w:numPr>
        <w:tabs>
          <w:tab w:val="left" w:pos="787"/>
        </w:tabs>
        <w:spacing w:before="203"/>
        <w:ind w:left="786" w:hanging="404"/>
        <w:rPr>
          <w:sz w:val="24"/>
        </w:rPr>
      </w:pPr>
      <w:r>
        <w:rPr>
          <w:sz w:val="24"/>
          <w:u w:val="single"/>
        </w:rPr>
        <w:t>Simultaneous Release of</w:t>
      </w:r>
      <w:r>
        <w:rPr>
          <w:spacing w:val="-3"/>
          <w:sz w:val="24"/>
          <w:u w:val="single"/>
        </w:rPr>
        <w:t xml:space="preserve"> </w:t>
      </w:r>
      <w:r>
        <w:rPr>
          <w:sz w:val="24"/>
          <w:u w:val="single"/>
        </w:rPr>
        <w:t>Inf</w:t>
      </w:r>
      <w:r>
        <w:rPr>
          <w:sz w:val="24"/>
          <w:u w:val="single"/>
        </w:rPr>
        <w:t>ormation:</w:t>
      </w:r>
    </w:p>
    <w:p w:rsidR="00607656" w:rsidRDefault="00607656">
      <w:pPr>
        <w:pStyle w:val="BodyText"/>
        <w:spacing w:before="6"/>
        <w:jc w:val="left"/>
        <w:rPr>
          <w:sz w:val="21"/>
        </w:rPr>
      </w:pPr>
    </w:p>
    <w:p w:rsidR="00607656" w:rsidRDefault="00D3063C">
      <w:pPr>
        <w:pStyle w:val="BodyText"/>
        <w:spacing w:line="273" w:lineRule="auto"/>
        <w:ind w:left="383" w:right="116"/>
      </w:pPr>
      <w:r>
        <w:t>Whenever the Company proposes to organize meetings with investment analysts / institutional investors, the Company shall make a press release or post relevant information on its website after every such meeting. The Company may also consider liv</w:t>
      </w:r>
      <w:r>
        <w:t>e webcasting of analyst meets.</w:t>
      </w:r>
    </w:p>
    <w:p w:rsidR="00607656" w:rsidRDefault="00D3063C">
      <w:pPr>
        <w:pStyle w:val="Heading1"/>
        <w:numPr>
          <w:ilvl w:val="0"/>
          <w:numId w:val="1"/>
        </w:numPr>
        <w:tabs>
          <w:tab w:val="left" w:pos="369"/>
        </w:tabs>
        <w:spacing w:before="201"/>
        <w:ind w:left="368"/>
        <w:jc w:val="left"/>
      </w:pPr>
      <w:r>
        <w:t>Sharing of unpublished price sensitive information on need to know</w:t>
      </w:r>
      <w:r>
        <w:rPr>
          <w:spacing w:val="-10"/>
        </w:rPr>
        <w:t xml:space="preserve"> </w:t>
      </w:r>
      <w:r>
        <w:t>basis</w:t>
      </w:r>
    </w:p>
    <w:p w:rsidR="00607656" w:rsidRDefault="00607656">
      <w:pPr>
        <w:pStyle w:val="BodyText"/>
        <w:jc w:val="left"/>
        <w:rPr>
          <w:b/>
          <w:sz w:val="21"/>
        </w:rPr>
      </w:pPr>
    </w:p>
    <w:p w:rsidR="00607656" w:rsidRDefault="00D3063C">
      <w:pPr>
        <w:pStyle w:val="ListParagraph"/>
        <w:numPr>
          <w:ilvl w:val="1"/>
          <w:numId w:val="1"/>
        </w:numPr>
        <w:tabs>
          <w:tab w:val="left" w:pos="787"/>
        </w:tabs>
        <w:spacing w:before="1"/>
        <w:ind w:left="786" w:hanging="404"/>
        <w:rPr>
          <w:sz w:val="24"/>
        </w:rPr>
      </w:pPr>
      <w:r>
        <w:rPr>
          <w:sz w:val="24"/>
        </w:rPr>
        <w:t>Price Sensitive Information will be handled on a ‘need to know’</w:t>
      </w:r>
      <w:r>
        <w:rPr>
          <w:spacing w:val="-3"/>
          <w:sz w:val="24"/>
        </w:rPr>
        <w:t xml:space="preserve"> </w:t>
      </w:r>
      <w:r>
        <w:rPr>
          <w:sz w:val="24"/>
        </w:rPr>
        <w:t>basis.</w:t>
      </w:r>
    </w:p>
    <w:p w:rsidR="00607656" w:rsidRDefault="00607656">
      <w:pPr>
        <w:pStyle w:val="BodyText"/>
        <w:spacing w:before="5"/>
        <w:jc w:val="left"/>
        <w:rPr>
          <w:sz w:val="21"/>
        </w:rPr>
      </w:pPr>
    </w:p>
    <w:p w:rsidR="00607656" w:rsidRDefault="00D3063C">
      <w:pPr>
        <w:pStyle w:val="ListParagraph"/>
        <w:numPr>
          <w:ilvl w:val="1"/>
          <w:numId w:val="1"/>
        </w:numPr>
        <w:tabs>
          <w:tab w:val="left" w:pos="835"/>
        </w:tabs>
        <w:spacing w:line="276" w:lineRule="auto"/>
        <w:ind w:right="116"/>
        <w:rPr>
          <w:sz w:val="24"/>
        </w:rPr>
      </w:pPr>
      <w:r>
        <w:rPr>
          <w:sz w:val="24"/>
        </w:rPr>
        <w:t>Such information should be disclosed only to those within the Company who need the information to discharge their duty and whose possession of such information will not give rise to a conflict of interest or appearance of misuse of information.</w:t>
      </w:r>
    </w:p>
    <w:p w:rsidR="00607656" w:rsidRDefault="00607656">
      <w:pPr>
        <w:pStyle w:val="BodyText"/>
        <w:jc w:val="left"/>
        <w:rPr>
          <w:sz w:val="26"/>
        </w:rPr>
      </w:pPr>
    </w:p>
    <w:p w:rsidR="00607656" w:rsidRDefault="00607656">
      <w:pPr>
        <w:pStyle w:val="BodyText"/>
        <w:spacing w:before="5"/>
        <w:jc w:val="left"/>
        <w:rPr>
          <w:sz w:val="36"/>
        </w:rPr>
      </w:pPr>
    </w:p>
    <w:p w:rsidR="00D3063C" w:rsidRDefault="00D3063C" w:rsidP="00D3063C">
      <w:pPr>
        <w:pStyle w:val="BodyText"/>
        <w:spacing w:before="1" w:line="244" w:lineRule="auto"/>
        <w:ind w:left="751" w:right="350"/>
      </w:pPr>
      <w:r>
        <w:t xml:space="preserve">This Code has been adopted by the Board of Directors of SGN TELECOMS LIMITED in its meeting held </w:t>
      </w:r>
      <w:r>
        <w:rPr>
          <w:spacing w:val="-3"/>
        </w:rPr>
        <w:t>on 30</w:t>
      </w:r>
      <w:r w:rsidRPr="00F403FD">
        <w:rPr>
          <w:spacing w:val="-3"/>
          <w:vertAlign w:val="superscript"/>
        </w:rPr>
        <w:t>th</w:t>
      </w:r>
      <w:r>
        <w:rPr>
          <w:spacing w:val="-3"/>
        </w:rPr>
        <w:t xml:space="preserve"> May 2018</w:t>
      </w:r>
      <w:r>
        <w:t xml:space="preserve"> and shall be deemed  to have come in to force from 15</w:t>
      </w:r>
      <w:r w:rsidRPr="00F403FD">
        <w:rPr>
          <w:vertAlign w:val="superscript"/>
        </w:rPr>
        <w:t>th</w:t>
      </w:r>
      <w:r>
        <w:t xml:space="preserve"> June 2018. Subsequent modification(s) / amendment (s) to SEBI (Prevention of Insider Trading) Regulations, 2015 shall automatically apply to this Code. Further, the Company reserves </w:t>
      </w:r>
      <w:proofErr w:type="gramStart"/>
      <w:r>
        <w:t>its  right</w:t>
      </w:r>
      <w:proofErr w:type="gramEnd"/>
      <w:r>
        <w:t xml:space="preserve">  to  amend or modify the Code in whole </w:t>
      </w:r>
      <w:r>
        <w:rPr>
          <w:spacing w:val="-3"/>
        </w:rPr>
        <w:t xml:space="preserve">or </w:t>
      </w:r>
      <w:r>
        <w:t>in part, at any time, when it deems appropriate.</w:t>
      </w:r>
    </w:p>
    <w:p w:rsidR="00D3063C" w:rsidRDefault="00D3063C" w:rsidP="00D3063C">
      <w:pPr>
        <w:spacing w:line="244" w:lineRule="auto"/>
        <w:jc w:val="both"/>
        <w:sectPr w:rsidR="00D3063C">
          <w:pgSz w:w="12240" w:h="15840"/>
          <w:pgMar w:top="1280" w:right="1240" w:bottom="1120" w:left="1720" w:header="0" w:footer="929" w:gutter="0"/>
          <w:cols w:space="720"/>
        </w:sectPr>
      </w:pPr>
    </w:p>
    <w:p w:rsidR="00607656" w:rsidRDefault="00607656" w:rsidP="00D3063C">
      <w:pPr>
        <w:pStyle w:val="BodyText"/>
        <w:spacing w:line="276" w:lineRule="auto"/>
        <w:ind w:left="383" w:right="114"/>
      </w:pPr>
    </w:p>
    <w:sectPr w:rsidR="00607656" w:rsidSect="00607656">
      <w:pgSz w:w="12240" w:h="15840"/>
      <w:pgMar w:top="136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61978"/>
    <w:multiLevelType w:val="hybridMultilevel"/>
    <w:tmpl w:val="4A6C662A"/>
    <w:lvl w:ilvl="0" w:tplc="C06EF6E2">
      <w:start w:val="1"/>
      <w:numFmt w:val="decimal"/>
      <w:lvlText w:val="%1."/>
      <w:lvlJc w:val="left"/>
      <w:pPr>
        <w:ind w:left="652" w:hanging="269"/>
        <w:jc w:val="right"/>
      </w:pPr>
      <w:rPr>
        <w:rFonts w:ascii="Arial" w:eastAsia="Arial" w:hAnsi="Arial" w:cs="Arial" w:hint="default"/>
        <w:b/>
        <w:bCs/>
        <w:spacing w:val="0"/>
        <w:w w:val="99"/>
        <w:sz w:val="24"/>
        <w:szCs w:val="24"/>
        <w:lang w:val="en-US" w:eastAsia="en-US" w:bidi="en-US"/>
      </w:rPr>
    </w:lvl>
    <w:lvl w:ilvl="1" w:tplc="D3E22FBE">
      <w:numFmt w:val="none"/>
      <w:lvlText w:val=""/>
      <w:lvlJc w:val="left"/>
      <w:pPr>
        <w:tabs>
          <w:tab w:val="num" w:pos="360"/>
        </w:tabs>
      </w:pPr>
    </w:lvl>
    <w:lvl w:ilvl="2" w:tplc="D50EFE08">
      <w:numFmt w:val="bullet"/>
      <w:lvlText w:val="•"/>
      <w:lvlJc w:val="left"/>
      <w:pPr>
        <w:ind w:left="780" w:hanging="418"/>
      </w:pPr>
      <w:rPr>
        <w:rFonts w:hint="default"/>
        <w:lang w:val="en-US" w:eastAsia="en-US" w:bidi="en-US"/>
      </w:rPr>
    </w:lvl>
    <w:lvl w:ilvl="3" w:tplc="40C4101E">
      <w:numFmt w:val="bullet"/>
      <w:lvlText w:val="•"/>
      <w:lvlJc w:val="left"/>
      <w:pPr>
        <w:ind w:left="1880" w:hanging="418"/>
      </w:pPr>
      <w:rPr>
        <w:rFonts w:hint="default"/>
        <w:lang w:val="en-US" w:eastAsia="en-US" w:bidi="en-US"/>
      </w:rPr>
    </w:lvl>
    <w:lvl w:ilvl="4" w:tplc="99BAEC2A">
      <w:numFmt w:val="bullet"/>
      <w:lvlText w:val="•"/>
      <w:lvlJc w:val="left"/>
      <w:pPr>
        <w:ind w:left="2980" w:hanging="418"/>
      </w:pPr>
      <w:rPr>
        <w:rFonts w:hint="default"/>
        <w:lang w:val="en-US" w:eastAsia="en-US" w:bidi="en-US"/>
      </w:rPr>
    </w:lvl>
    <w:lvl w:ilvl="5" w:tplc="BFB06562">
      <w:numFmt w:val="bullet"/>
      <w:lvlText w:val="•"/>
      <w:lvlJc w:val="left"/>
      <w:pPr>
        <w:ind w:left="4080" w:hanging="418"/>
      </w:pPr>
      <w:rPr>
        <w:rFonts w:hint="default"/>
        <w:lang w:val="en-US" w:eastAsia="en-US" w:bidi="en-US"/>
      </w:rPr>
    </w:lvl>
    <w:lvl w:ilvl="6" w:tplc="BCCEB95C">
      <w:numFmt w:val="bullet"/>
      <w:lvlText w:val="•"/>
      <w:lvlJc w:val="left"/>
      <w:pPr>
        <w:ind w:left="5180" w:hanging="418"/>
      </w:pPr>
      <w:rPr>
        <w:rFonts w:hint="default"/>
        <w:lang w:val="en-US" w:eastAsia="en-US" w:bidi="en-US"/>
      </w:rPr>
    </w:lvl>
    <w:lvl w:ilvl="7" w:tplc="8692215C">
      <w:numFmt w:val="bullet"/>
      <w:lvlText w:val="•"/>
      <w:lvlJc w:val="left"/>
      <w:pPr>
        <w:ind w:left="6280" w:hanging="418"/>
      </w:pPr>
      <w:rPr>
        <w:rFonts w:hint="default"/>
        <w:lang w:val="en-US" w:eastAsia="en-US" w:bidi="en-US"/>
      </w:rPr>
    </w:lvl>
    <w:lvl w:ilvl="8" w:tplc="4A0AF558">
      <w:numFmt w:val="bullet"/>
      <w:lvlText w:val="•"/>
      <w:lvlJc w:val="left"/>
      <w:pPr>
        <w:ind w:left="7380" w:hanging="41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07656"/>
    <w:rsid w:val="00607656"/>
    <w:rsid w:val="00D30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656"/>
    <w:rPr>
      <w:rFonts w:ascii="Arial" w:eastAsia="Arial" w:hAnsi="Arial" w:cs="Arial"/>
      <w:lang w:bidi="en-US"/>
    </w:rPr>
  </w:style>
  <w:style w:type="paragraph" w:styleId="Heading1">
    <w:name w:val="heading 1"/>
    <w:basedOn w:val="Normal"/>
    <w:uiPriority w:val="1"/>
    <w:qFormat/>
    <w:rsid w:val="00607656"/>
    <w:pPr>
      <w:ind w:left="652" w:hanging="26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7656"/>
    <w:pPr>
      <w:jc w:val="both"/>
    </w:pPr>
    <w:rPr>
      <w:sz w:val="24"/>
      <w:szCs w:val="24"/>
    </w:rPr>
  </w:style>
  <w:style w:type="paragraph" w:styleId="ListParagraph">
    <w:name w:val="List Paragraph"/>
    <w:basedOn w:val="Normal"/>
    <w:uiPriority w:val="1"/>
    <w:qFormat/>
    <w:rsid w:val="00607656"/>
    <w:pPr>
      <w:ind w:left="383"/>
      <w:jc w:val="both"/>
    </w:pPr>
  </w:style>
  <w:style w:type="paragraph" w:customStyle="1" w:styleId="TableParagraph">
    <w:name w:val="Table Paragraph"/>
    <w:basedOn w:val="Normal"/>
    <w:uiPriority w:val="1"/>
    <w:qFormat/>
    <w:rsid w:val="006076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Syschem Code of Fair Disclosure</dc:title>
  <dc:creator>a</dc:creator>
  <cp:lastModifiedBy>lenovo</cp:lastModifiedBy>
  <cp:revision>2</cp:revision>
  <dcterms:created xsi:type="dcterms:W3CDTF">2019-12-12T07:33:00Z</dcterms:created>
  <dcterms:modified xsi:type="dcterms:W3CDTF">2019-12-12T07:53:00Z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Creator">
    <vt:lpwstr>Microsoft Word - Syschem Code of Fair Disclosure</vt:lpwstr>
  </property>
  <property fmtid="{D5CDD505-2E9C-101B-9397-08002B2CF9AE}" pid="4" name="LastSaved">
    <vt:filetime>2015-05-28T00:00:00Z</vt:filetime>
  </property>
</Properties>
</file>