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27" w:rsidRDefault="00934021">
      <w:pPr>
        <w:spacing w:before="77" w:line="398" w:lineRule="auto"/>
        <w:ind w:left="1847" w:right="2213" w:firstLine="820"/>
        <w:rPr>
          <w:b/>
          <w:sz w:val="32"/>
        </w:rPr>
      </w:pPr>
      <w:r>
        <w:rPr>
          <w:b/>
          <w:sz w:val="32"/>
          <w:u w:val="thick"/>
        </w:rPr>
        <w:t>S</w:t>
      </w:r>
      <w:r w:rsidR="001F363B">
        <w:rPr>
          <w:b/>
          <w:sz w:val="32"/>
          <w:u w:val="thick"/>
        </w:rPr>
        <w:t>GN TELECOMS</w:t>
      </w:r>
      <w:r>
        <w:rPr>
          <w:b/>
          <w:sz w:val="32"/>
          <w:u w:val="thick"/>
        </w:rPr>
        <w:t xml:space="preserve"> LIMITED</w:t>
      </w:r>
      <w:r>
        <w:rPr>
          <w:b/>
          <w:sz w:val="32"/>
        </w:rPr>
        <w:t xml:space="preserve"> </w:t>
      </w:r>
      <w:r>
        <w:rPr>
          <w:b/>
          <w:sz w:val="32"/>
          <w:u w:val="thick"/>
        </w:rPr>
        <w:t>RELATED PARTY TRANSACTION POLICY</w:t>
      </w:r>
    </w:p>
    <w:p w:rsidR="001B1727" w:rsidRDefault="001B1727">
      <w:pPr>
        <w:pStyle w:val="BodyText"/>
        <w:rPr>
          <w:b/>
          <w:sz w:val="20"/>
        </w:rPr>
      </w:pPr>
    </w:p>
    <w:p w:rsidR="001B1727" w:rsidRDefault="001B1727">
      <w:pPr>
        <w:pStyle w:val="BodyText"/>
        <w:spacing w:before="1"/>
        <w:rPr>
          <w:b/>
          <w:sz w:val="25"/>
        </w:rPr>
      </w:pPr>
    </w:p>
    <w:p w:rsidR="001B1727" w:rsidRDefault="00934021">
      <w:pPr>
        <w:pStyle w:val="Heading2"/>
        <w:numPr>
          <w:ilvl w:val="0"/>
          <w:numId w:val="5"/>
        </w:numPr>
        <w:tabs>
          <w:tab w:val="left" w:pos="460"/>
        </w:tabs>
        <w:spacing w:before="101"/>
      </w:pPr>
      <w:r>
        <w:t>THE SCOPE AND PURPOSE OF THE</w:t>
      </w:r>
      <w:r>
        <w:rPr>
          <w:spacing w:val="-12"/>
        </w:rPr>
        <w:t xml:space="preserve"> </w:t>
      </w:r>
      <w:r>
        <w:t>POLICY</w:t>
      </w:r>
    </w:p>
    <w:p w:rsidR="001B1727" w:rsidRDefault="001B1727">
      <w:pPr>
        <w:pStyle w:val="BodyText"/>
        <w:spacing w:before="1"/>
        <w:rPr>
          <w:b/>
        </w:rPr>
      </w:pPr>
    </w:p>
    <w:p w:rsidR="001B1727" w:rsidRDefault="00934021">
      <w:pPr>
        <w:pStyle w:val="BodyText"/>
        <w:ind w:left="100" w:right="118"/>
        <w:jc w:val="both"/>
      </w:pPr>
      <w:r>
        <w:t>Related Party Transactions can present a potential or actual conflict of interest which may be against the best interest of the company and its shareholders. Considering the requirements for approval of related party transactions as prescribed under the Co</w:t>
      </w:r>
      <w:r>
        <w:t xml:space="preserve">mpanies Act, 2013 read with Rules framed there under and </w:t>
      </w:r>
      <w:r w:rsidR="001F363B">
        <w:t>Regulation 23 of the Listing Regulations</w:t>
      </w:r>
      <w:r>
        <w:t>, S</w:t>
      </w:r>
      <w:r w:rsidR="001F363B">
        <w:t>GN Telecoms</w:t>
      </w:r>
      <w:r>
        <w:t xml:space="preserve"> Limited (“the Company”) has formulated guidelines for identification of related parties and the proper conduct and documentation of all rel</w:t>
      </w:r>
      <w:r>
        <w:t>ated party transactions.</w:t>
      </w:r>
    </w:p>
    <w:p w:rsidR="001B1727" w:rsidRDefault="001B1727">
      <w:pPr>
        <w:pStyle w:val="BodyText"/>
        <w:spacing w:before="9"/>
        <w:rPr>
          <w:sz w:val="21"/>
        </w:rPr>
      </w:pPr>
    </w:p>
    <w:p w:rsidR="001B1727" w:rsidRDefault="00934021">
      <w:pPr>
        <w:pStyle w:val="BodyText"/>
        <w:ind w:left="100" w:right="120"/>
        <w:jc w:val="both"/>
      </w:pPr>
      <w:r>
        <w:t xml:space="preserve">In the light of the above, the company has framed this policy on Related Party Transactions. This </w:t>
      </w:r>
      <w:proofErr w:type="gramStart"/>
      <w:r>
        <w:t>policy</w:t>
      </w:r>
      <w:proofErr w:type="gramEnd"/>
      <w:r>
        <w:t xml:space="preserve"> has been adopted by the Board of Directors of the Company based on the recommendations of Audit Committee. The Audit Committe</w:t>
      </w:r>
      <w:r>
        <w:t>e would review and amend the policy, as and when required, subject to the approval of the Board.</w:t>
      </w:r>
    </w:p>
    <w:p w:rsidR="001B1727" w:rsidRDefault="001B1727">
      <w:pPr>
        <w:pStyle w:val="BodyText"/>
        <w:spacing w:before="1"/>
      </w:pPr>
    </w:p>
    <w:p w:rsidR="001B1727" w:rsidRDefault="001F363B">
      <w:pPr>
        <w:pStyle w:val="BodyText"/>
        <w:ind w:left="100" w:right="119"/>
        <w:jc w:val="both"/>
      </w:pPr>
      <w:r>
        <w:t>SGN Telecoms</w:t>
      </w:r>
      <w:r w:rsidR="00934021">
        <w:t xml:space="preserve"> Limited shall engage with Related Parties in the ordinary course of business and on an arm’s length basis to leverage scale, size and drive op</w:t>
      </w:r>
      <w:r w:rsidR="00934021">
        <w:t>erational synergies to provide value added, innovative products to its consumers while ensuring that transactions with Related Parties are, fully compliant with applicable Regulations.</w:t>
      </w:r>
    </w:p>
    <w:p w:rsidR="001B1727" w:rsidRDefault="001B1727">
      <w:pPr>
        <w:pStyle w:val="BodyText"/>
        <w:spacing w:before="1"/>
      </w:pPr>
    </w:p>
    <w:p w:rsidR="001B1727" w:rsidRDefault="00934021">
      <w:pPr>
        <w:pStyle w:val="Heading2"/>
        <w:numPr>
          <w:ilvl w:val="0"/>
          <w:numId w:val="5"/>
        </w:numPr>
        <w:tabs>
          <w:tab w:val="left" w:pos="460"/>
        </w:tabs>
      </w:pPr>
      <w:r>
        <w:t>OBJECTIVE OF THE</w:t>
      </w:r>
      <w:r>
        <w:rPr>
          <w:spacing w:val="-7"/>
        </w:rPr>
        <w:t xml:space="preserve"> </w:t>
      </w:r>
      <w:r>
        <w:t>POLICY</w:t>
      </w:r>
    </w:p>
    <w:p w:rsidR="001B1727" w:rsidRDefault="001B1727">
      <w:pPr>
        <w:pStyle w:val="BodyText"/>
        <w:spacing w:before="1"/>
        <w:rPr>
          <w:b/>
        </w:rPr>
      </w:pPr>
    </w:p>
    <w:p w:rsidR="001B1727" w:rsidRDefault="00934021">
      <w:pPr>
        <w:pStyle w:val="BodyText"/>
        <w:ind w:left="100" w:right="113"/>
        <w:jc w:val="both"/>
      </w:pPr>
      <w:r>
        <w:t>The objective of the Policy is to ensure that</w:t>
      </w:r>
      <w:r>
        <w:t xml:space="preserve"> proper reporting, approval and disclosure processes are in place for all transactions between the Company and Related Parties. This policy specifically deals with the review and approval of Material Related Party Transactions keeping in mind the potential</w:t>
      </w:r>
      <w:r>
        <w:t xml:space="preserve"> or actual conflicts of interest that may arise because of entering into these</w:t>
      </w:r>
      <w:r>
        <w:rPr>
          <w:spacing w:val="-22"/>
        </w:rPr>
        <w:t xml:space="preserve"> </w:t>
      </w:r>
      <w:r>
        <w:t>transactions.</w:t>
      </w:r>
    </w:p>
    <w:p w:rsidR="001B1727" w:rsidRDefault="001B1727">
      <w:pPr>
        <w:pStyle w:val="BodyText"/>
        <w:spacing w:before="8"/>
        <w:rPr>
          <w:sz w:val="21"/>
        </w:rPr>
      </w:pPr>
    </w:p>
    <w:p w:rsidR="001B1727" w:rsidRDefault="00934021">
      <w:pPr>
        <w:pStyle w:val="Heading2"/>
        <w:numPr>
          <w:ilvl w:val="0"/>
          <w:numId w:val="5"/>
        </w:numPr>
        <w:tabs>
          <w:tab w:val="left" w:pos="460"/>
        </w:tabs>
      </w:pPr>
      <w:r>
        <w:t>DEFINITIONS AND</w:t>
      </w:r>
      <w:r>
        <w:rPr>
          <w:spacing w:val="-4"/>
        </w:rPr>
        <w:t xml:space="preserve"> </w:t>
      </w:r>
      <w:r>
        <w:t>APPLICABILITY</w:t>
      </w:r>
    </w:p>
    <w:p w:rsidR="001B1727" w:rsidRDefault="001B1727">
      <w:pPr>
        <w:pStyle w:val="BodyText"/>
        <w:spacing w:before="1"/>
        <w:rPr>
          <w:b/>
        </w:rPr>
      </w:pPr>
    </w:p>
    <w:p w:rsidR="001B1727" w:rsidRDefault="00934021">
      <w:pPr>
        <w:pStyle w:val="BodyText"/>
        <w:ind w:left="100" w:right="118"/>
        <w:jc w:val="both"/>
      </w:pPr>
      <w:r>
        <w:t xml:space="preserve">All </w:t>
      </w:r>
      <w:proofErr w:type="spellStart"/>
      <w:r>
        <w:t>capitalised</w:t>
      </w:r>
      <w:proofErr w:type="spellEnd"/>
      <w:r>
        <w:t xml:space="preserve"> terms used in this policy document but not defined herein shall have the meaning ascribed to such term in the Companies Act, 2013 and the Rules framed there under and the Equity Listing Agreement, as amended from time to time.</w:t>
      </w:r>
    </w:p>
    <w:p w:rsidR="001B1727" w:rsidRDefault="001B1727">
      <w:pPr>
        <w:pStyle w:val="BodyText"/>
        <w:spacing w:before="6"/>
      </w:pPr>
    </w:p>
    <w:p w:rsidR="001B1727" w:rsidRDefault="00934021">
      <w:pPr>
        <w:pStyle w:val="Heading1"/>
        <w:ind w:right="235"/>
      </w:pPr>
      <w:r>
        <w:t>“Arm’s Lengt</w:t>
      </w:r>
      <w:r>
        <w:t xml:space="preserve">h Transaction (‘ALP’)” means a transaction between </w:t>
      </w:r>
      <w:r>
        <w:t>two</w:t>
      </w:r>
      <w:r>
        <w:t xml:space="preserve"> related</w:t>
      </w:r>
      <w:r>
        <w:t xml:space="preserve"> parties</w:t>
      </w:r>
      <w:r>
        <w:t xml:space="preserve"> that</w:t>
      </w:r>
      <w:r>
        <w:rPr>
          <w:spacing w:val="26"/>
        </w:rPr>
        <w:t xml:space="preserve"> </w:t>
      </w:r>
      <w:r>
        <w:t>is</w:t>
      </w:r>
      <w:r>
        <w:rPr>
          <w:spacing w:val="27"/>
        </w:rPr>
        <w:t xml:space="preserve"> </w:t>
      </w:r>
      <w:r>
        <w:t>conducted</w:t>
      </w:r>
      <w:r>
        <w:rPr>
          <w:spacing w:val="25"/>
        </w:rPr>
        <w:t xml:space="preserve"> </w:t>
      </w:r>
      <w:r>
        <w:t>as</w:t>
      </w:r>
      <w:r>
        <w:rPr>
          <w:spacing w:val="27"/>
        </w:rPr>
        <w:t xml:space="preserve"> </w:t>
      </w:r>
      <w:r>
        <w:t>if</w:t>
      </w:r>
      <w:r>
        <w:rPr>
          <w:spacing w:val="29"/>
        </w:rPr>
        <w:t xml:space="preserve"> </w:t>
      </w:r>
      <w:r>
        <w:t>they</w:t>
      </w:r>
      <w:r>
        <w:rPr>
          <w:spacing w:val="27"/>
        </w:rPr>
        <w:t xml:space="preserve"> </w:t>
      </w:r>
      <w:r>
        <w:t>are</w:t>
      </w:r>
      <w:r>
        <w:rPr>
          <w:spacing w:val="30"/>
        </w:rPr>
        <w:t xml:space="preserve"> </w:t>
      </w:r>
      <w:r>
        <w:t>unrelated,</w:t>
      </w:r>
      <w:r>
        <w:rPr>
          <w:spacing w:val="24"/>
        </w:rPr>
        <w:t xml:space="preserve"> </w:t>
      </w:r>
      <w:r>
        <w:t>so</w:t>
      </w:r>
      <w:r>
        <w:rPr>
          <w:spacing w:val="28"/>
        </w:rPr>
        <w:t xml:space="preserve"> </w:t>
      </w:r>
      <w:r>
        <w:t>that</w:t>
      </w:r>
      <w:r>
        <w:rPr>
          <w:spacing w:val="27"/>
        </w:rPr>
        <w:t xml:space="preserve"> </w:t>
      </w:r>
      <w:r>
        <w:t>there</w:t>
      </w:r>
      <w:r>
        <w:rPr>
          <w:spacing w:val="26"/>
        </w:rPr>
        <w:t xml:space="preserve"> </w:t>
      </w:r>
      <w:r>
        <w:t>is</w:t>
      </w:r>
      <w:r>
        <w:rPr>
          <w:spacing w:val="28"/>
        </w:rPr>
        <w:t xml:space="preserve"> </w:t>
      </w:r>
      <w:r>
        <w:t>no</w:t>
      </w:r>
      <w:r>
        <w:rPr>
          <w:spacing w:val="28"/>
        </w:rPr>
        <w:t xml:space="preserve"> </w:t>
      </w:r>
      <w:r>
        <w:t>conflict</w:t>
      </w:r>
      <w:r>
        <w:rPr>
          <w:spacing w:val="26"/>
        </w:rPr>
        <w:t xml:space="preserve"> </w:t>
      </w:r>
      <w:r>
        <w:t>of</w:t>
      </w:r>
      <w:r>
        <w:rPr>
          <w:spacing w:val="52"/>
        </w:rPr>
        <w:t xml:space="preserve"> </w:t>
      </w:r>
      <w:r>
        <w:t>interest.</w:t>
      </w:r>
    </w:p>
    <w:p w:rsidR="001B1727" w:rsidRDefault="001B1727">
      <w:pPr>
        <w:pStyle w:val="BodyText"/>
        <w:spacing w:before="11"/>
        <w:rPr>
          <w:sz w:val="23"/>
        </w:rPr>
      </w:pPr>
    </w:p>
    <w:p w:rsidR="001B1727" w:rsidRDefault="00934021">
      <w:pPr>
        <w:spacing w:before="1"/>
        <w:ind w:left="100"/>
        <w:jc w:val="both"/>
        <w:rPr>
          <w:sz w:val="24"/>
        </w:rPr>
      </w:pPr>
      <w:r>
        <w:rPr>
          <w:sz w:val="24"/>
        </w:rPr>
        <w:t>“Ordinary Course of Business (‘OCB’)” means a transaction which is:</w:t>
      </w:r>
    </w:p>
    <w:p w:rsidR="001B1727" w:rsidRDefault="001B1727">
      <w:pPr>
        <w:pStyle w:val="BodyText"/>
        <w:spacing w:before="8"/>
        <w:rPr>
          <w:sz w:val="23"/>
        </w:rPr>
      </w:pPr>
    </w:p>
    <w:p w:rsidR="001B1727" w:rsidRDefault="00934021">
      <w:pPr>
        <w:pStyle w:val="ListParagraph"/>
        <w:numPr>
          <w:ilvl w:val="0"/>
          <w:numId w:val="4"/>
        </w:numPr>
        <w:tabs>
          <w:tab w:val="left" w:pos="459"/>
          <w:tab w:val="left" w:pos="460"/>
        </w:tabs>
        <w:spacing w:line="244" w:lineRule="auto"/>
        <w:ind w:right="238"/>
        <w:rPr>
          <w:sz w:val="24"/>
        </w:rPr>
      </w:pPr>
      <w:r>
        <w:rPr>
          <w:sz w:val="24"/>
        </w:rPr>
        <w:t>carried out in the normal course of business envisaged in accordance with the Memorandum</w:t>
      </w:r>
      <w:r>
        <w:rPr>
          <w:spacing w:val="-23"/>
          <w:sz w:val="24"/>
        </w:rPr>
        <w:t xml:space="preserve"> </w:t>
      </w:r>
      <w:r>
        <w:rPr>
          <w:sz w:val="24"/>
        </w:rPr>
        <w:t>of</w:t>
      </w:r>
      <w:r>
        <w:rPr>
          <w:spacing w:val="-20"/>
          <w:sz w:val="24"/>
        </w:rPr>
        <w:t xml:space="preserve"> </w:t>
      </w:r>
      <w:r>
        <w:rPr>
          <w:sz w:val="24"/>
        </w:rPr>
        <w:t>Association</w:t>
      </w:r>
      <w:r>
        <w:rPr>
          <w:spacing w:val="-20"/>
          <w:sz w:val="24"/>
        </w:rPr>
        <w:t xml:space="preserve"> </w:t>
      </w:r>
      <w:r>
        <w:rPr>
          <w:sz w:val="24"/>
        </w:rPr>
        <w:t>(‘</w:t>
      </w:r>
      <w:proofErr w:type="spellStart"/>
      <w:r>
        <w:rPr>
          <w:sz w:val="24"/>
        </w:rPr>
        <w:t>MoA</w:t>
      </w:r>
      <w:proofErr w:type="spellEnd"/>
      <w:r>
        <w:rPr>
          <w:sz w:val="24"/>
        </w:rPr>
        <w:t>’)</w:t>
      </w:r>
      <w:r>
        <w:rPr>
          <w:spacing w:val="-20"/>
          <w:sz w:val="24"/>
        </w:rPr>
        <w:t xml:space="preserve"> </w:t>
      </w:r>
      <w:r>
        <w:rPr>
          <w:sz w:val="24"/>
        </w:rPr>
        <w:t>of</w:t>
      </w:r>
      <w:r>
        <w:rPr>
          <w:spacing w:val="-19"/>
          <w:sz w:val="24"/>
        </w:rPr>
        <w:t xml:space="preserve"> </w:t>
      </w:r>
      <w:r>
        <w:rPr>
          <w:sz w:val="24"/>
        </w:rPr>
        <w:t>the</w:t>
      </w:r>
      <w:r>
        <w:rPr>
          <w:spacing w:val="-15"/>
          <w:sz w:val="24"/>
        </w:rPr>
        <w:t xml:space="preserve"> </w:t>
      </w:r>
      <w:r>
        <w:rPr>
          <w:sz w:val="24"/>
        </w:rPr>
        <w:t>Company</w:t>
      </w:r>
      <w:r>
        <w:rPr>
          <w:spacing w:val="-17"/>
          <w:sz w:val="24"/>
        </w:rPr>
        <w:t xml:space="preserve"> </w:t>
      </w:r>
      <w:r>
        <w:rPr>
          <w:sz w:val="24"/>
        </w:rPr>
        <w:t>as</w:t>
      </w:r>
      <w:r>
        <w:rPr>
          <w:spacing w:val="-17"/>
          <w:sz w:val="24"/>
        </w:rPr>
        <w:t xml:space="preserve"> </w:t>
      </w:r>
      <w:r>
        <w:rPr>
          <w:sz w:val="24"/>
        </w:rPr>
        <w:t>amended</w:t>
      </w:r>
      <w:r>
        <w:rPr>
          <w:spacing w:val="-20"/>
          <w:sz w:val="24"/>
        </w:rPr>
        <w:t xml:space="preserve"> </w:t>
      </w:r>
      <w:r>
        <w:rPr>
          <w:sz w:val="24"/>
        </w:rPr>
        <w:t>from</w:t>
      </w:r>
      <w:r>
        <w:rPr>
          <w:spacing w:val="39"/>
          <w:sz w:val="24"/>
        </w:rPr>
        <w:t xml:space="preserve"> </w:t>
      </w:r>
      <w:r>
        <w:rPr>
          <w:sz w:val="24"/>
        </w:rPr>
        <w:t>time</w:t>
      </w:r>
      <w:r>
        <w:rPr>
          <w:spacing w:val="-5"/>
          <w:sz w:val="24"/>
        </w:rPr>
        <w:t xml:space="preserve"> </w:t>
      </w:r>
      <w:r>
        <w:rPr>
          <w:sz w:val="24"/>
        </w:rPr>
        <w:t>to</w:t>
      </w:r>
      <w:r>
        <w:rPr>
          <w:spacing w:val="-7"/>
          <w:sz w:val="24"/>
        </w:rPr>
        <w:t xml:space="preserve"> </w:t>
      </w:r>
      <w:r>
        <w:rPr>
          <w:sz w:val="24"/>
        </w:rPr>
        <w:t>time,</w:t>
      </w:r>
      <w:r>
        <w:rPr>
          <w:spacing w:val="-8"/>
          <w:sz w:val="24"/>
        </w:rPr>
        <w:t xml:space="preserve"> </w:t>
      </w:r>
      <w:r>
        <w:rPr>
          <w:sz w:val="24"/>
        </w:rPr>
        <w:t>or</w:t>
      </w:r>
    </w:p>
    <w:p w:rsidR="001B1727" w:rsidRDefault="00934021">
      <w:pPr>
        <w:pStyle w:val="ListParagraph"/>
        <w:numPr>
          <w:ilvl w:val="0"/>
          <w:numId w:val="4"/>
        </w:numPr>
        <w:tabs>
          <w:tab w:val="left" w:pos="459"/>
          <w:tab w:val="left" w:pos="460"/>
        </w:tabs>
        <w:spacing w:before="4"/>
        <w:rPr>
          <w:sz w:val="24"/>
        </w:rPr>
      </w:pPr>
      <w:r>
        <w:rPr>
          <w:sz w:val="24"/>
        </w:rPr>
        <w:t>historical practice with a pattern of frequency,</w:t>
      </w:r>
      <w:r>
        <w:rPr>
          <w:spacing w:val="-30"/>
          <w:sz w:val="24"/>
        </w:rPr>
        <w:t xml:space="preserve"> </w:t>
      </w:r>
      <w:r>
        <w:rPr>
          <w:sz w:val="24"/>
        </w:rPr>
        <w:t>or</w:t>
      </w:r>
    </w:p>
    <w:p w:rsidR="001B1727" w:rsidRDefault="001B1727">
      <w:pPr>
        <w:rPr>
          <w:sz w:val="24"/>
        </w:rPr>
        <w:sectPr w:rsidR="001B1727">
          <w:type w:val="continuous"/>
          <w:pgSz w:w="12240" w:h="15840"/>
          <w:pgMar w:top="1360" w:right="1320" w:bottom="280" w:left="1700" w:header="720" w:footer="720" w:gutter="0"/>
          <w:cols w:space="720"/>
        </w:sectPr>
      </w:pPr>
    </w:p>
    <w:p w:rsidR="001B1727" w:rsidRDefault="00934021">
      <w:pPr>
        <w:pStyle w:val="ListParagraph"/>
        <w:numPr>
          <w:ilvl w:val="0"/>
          <w:numId w:val="4"/>
        </w:numPr>
        <w:tabs>
          <w:tab w:val="left" w:pos="459"/>
          <w:tab w:val="left" w:pos="460"/>
        </w:tabs>
        <w:spacing w:before="78"/>
        <w:rPr>
          <w:sz w:val="24"/>
        </w:rPr>
      </w:pPr>
      <w:r>
        <w:rPr>
          <w:sz w:val="24"/>
        </w:rPr>
        <w:lastRenderedPageBreak/>
        <w:t>common commercial practice,</w:t>
      </w:r>
      <w:r>
        <w:rPr>
          <w:spacing w:val="-16"/>
          <w:sz w:val="24"/>
        </w:rPr>
        <w:t xml:space="preserve"> </w:t>
      </w:r>
      <w:r>
        <w:rPr>
          <w:sz w:val="24"/>
        </w:rPr>
        <w:t>or</w:t>
      </w:r>
    </w:p>
    <w:p w:rsidR="001B1727" w:rsidRDefault="00934021">
      <w:pPr>
        <w:pStyle w:val="ListParagraph"/>
        <w:numPr>
          <w:ilvl w:val="0"/>
          <w:numId w:val="4"/>
        </w:numPr>
        <w:tabs>
          <w:tab w:val="left" w:pos="459"/>
          <w:tab w:val="left" w:pos="460"/>
        </w:tabs>
        <w:spacing w:before="2"/>
        <w:rPr>
          <w:sz w:val="24"/>
        </w:rPr>
      </w:pPr>
      <w:proofErr w:type="gramStart"/>
      <w:r>
        <w:rPr>
          <w:sz w:val="24"/>
        </w:rPr>
        <w:t>m</w:t>
      </w:r>
      <w:r>
        <w:rPr>
          <w:sz w:val="24"/>
        </w:rPr>
        <w:t>eets</w:t>
      </w:r>
      <w:proofErr w:type="gramEnd"/>
      <w:r>
        <w:rPr>
          <w:sz w:val="24"/>
        </w:rPr>
        <w:t xml:space="preserve"> any other parameters / criteria as decided by the Board/Audit</w:t>
      </w:r>
      <w:r>
        <w:rPr>
          <w:spacing w:val="36"/>
          <w:sz w:val="24"/>
        </w:rPr>
        <w:t xml:space="preserve"> </w:t>
      </w:r>
      <w:r>
        <w:rPr>
          <w:sz w:val="24"/>
        </w:rPr>
        <w:t>Committee.</w:t>
      </w:r>
    </w:p>
    <w:p w:rsidR="001B1727" w:rsidRDefault="001B1727">
      <w:pPr>
        <w:pStyle w:val="BodyText"/>
        <w:spacing w:before="4"/>
        <w:rPr>
          <w:sz w:val="24"/>
        </w:rPr>
      </w:pPr>
    </w:p>
    <w:p w:rsidR="001B1727" w:rsidRDefault="00934021">
      <w:pPr>
        <w:ind w:left="100" w:right="248"/>
        <w:jc w:val="both"/>
        <w:rPr>
          <w:sz w:val="24"/>
        </w:rPr>
      </w:pPr>
      <w:r>
        <w:rPr>
          <w:sz w:val="24"/>
        </w:rPr>
        <w:t xml:space="preserve">“Material Related Party Transactions”, will have the same meaning </w:t>
      </w:r>
      <w:r>
        <w:rPr>
          <w:spacing w:val="-3"/>
          <w:sz w:val="24"/>
        </w:rPr>
        <w:t xml:space="preserve">as </w:t>
      </w:r>
      <w:r>
        <w:rPr>
          <w:sz w:val="24"/>
        </w:rPr>
        <w:t xml:space="preserve">defined in </w:t>
      </w:r>
      <w:proofErr w:type="gramStart"/>
      <w:r>
        <w:rPr>
          <w:sz w:val="24"/>
        </w:rPr>
        <w:t>Clause  49</w:t>
      </w:r>
      <w:proofErr w:type="gramEnd"/>
      <w:r>
        <w:rPr>
          <w:sz w:val="24"/>
        </w:rPr>
        <w:t>.</w:t>
      </w:r>
    </w:p>
    <w:p w:rsidR="001B1727" w:rsidRDefault="001B1727">
      <w:pPr>
        <w:pStyle w:val="BodyText"/>
        <w:rPr>
          <w:sz w:val="24"/>
        </w:rPr>
      </w:pPr>
    </w:p>
    <w:p w:rsidR="001B1727" w:rsidRDefault="00934021">
      <w:pPr>
        <w:ind w:left="100" w:right="227"/>
        <w:jc w:val="both"/>
        <w:rPr>
          <w:sz w:val="24"/>
        </w:rPr>
      </w:pPr>
      <w:r>
        <w:rPr>
          <w:sz w:val="24"/>
        </w:rPr>
        <w:t>“Relative” in relation to a related party shall have the same meaning assigned to in Section 2(77) of the Act.</w:t>
      </w:r>
    </w:p>
    <w:p w:rsidR="001B1727" w:rsidRDefault="001B1727">
      <w:pPr>
        <w:pStyle w:val="BodyText"/>
        <w:spacing w:before="11"/>
        <w:rPr>
          <w:sz w:val="23"/>
        </w:rPr>
      </w:pPr>
    </w:p>
    <w:p w:rsidR="001B1727" w:rsidRDefault="00934021">
      <w:pPr>
        <w:spacing w:before="1"/>
        <w:ind w:left="100" w:right="244"/>
        <w:jc w:val="both"/>
        <w:rPr>
          <w:sz w:val="24"/>
        </w:rPr>
      </w:pPr>
      <w:r>
        <w:rPr>
          <w:sz w:val="24"/>
        </w:rPr>
        <w:t>“Related Party”, will have the same meaning as defined under Section 2</w:t>
      </w:r>
      <w:r>
        <w:rPr>
          <w:sz w:val="24"/>
        </w:rPr>
        <w:t>(</w:t>
      </w:r>
      <w:r>
        <w:rPr>
          <w:sz w:val="24"/>
        </w:rPr>
        <w:t>7</w:t>
      </w:r>
      <w:r>
        <w:rPr>
          <w:sz w:val="24"/>
        </w:rPr>
        <w:t xml:space="preserve">6) of the Act and/or the </w:t>
      </w:r>
      <w:r w:rsidR="001F363B">
        <w:rPr>
          <w:sz w:val="24"/>
        </w:rPr>
        <w:t>Regulation 2(</w:t>
      </w:r>
      <w:proofErr w:type="spellStart"/>
      <w:r w:rsidR="001F363B">
        <w:rPr>
          <w:sz w:val="24"/>
        </w:rPr>
        <w:t>zb</w:t>
      </w:r>
      <w:proofErr w:type="spellEnd"/>
      <w:r w:rsidR="001F363B">
        <w:rPr>
          <w:sz w:val="24"/>
        </w:rPr>
        <w:t>) of LODR</w:t>
      </w:r>
      <w:r>
        <w:rPr>
          <w:sz w:val="24"/>
        </w:rPr>
        <w:t>.</w:t>
      </w:r>
    </w:p>
    <w:p w:rsidR="001B1727" w:rsidRDefault="001B1727">
      <w:pPr>
        <w:pStyle w:val="BodyText"/>
        <w:spacing w:before="11"/>
        <w:rPr>
          <w:sz w:val="23"/>
        </w:rPr>
      </w:pPr>
    </w:p>
    <w:p w:rsidR="001B1727" w:rsidRDefault="00934021">
      <w:pPr>
        <w:ind w:left="100" w:right="233"/>
        <w:jc w:val="both"/>
        <w:rPr>
          <w:sz w:val="24"/>
        </w:rPr>
      </w:pPr>
      <w:r>
        <w:rPr>
          <w:sz w:val="24"/>
        </w:rPr>
        <w:t>Reference and reliance may be place</w:t>
      </w:r>
      <w:r>
        <w:rPr>
          <w:sz w:val="24"/>
        </w:rPr>
        <w:t>d on the clarification issued by the Ministry of the Corporate Affairs, Government of India and SEBI and other Authorities from time to time on the interpretation of the term “Related Party”</w:t>
      </w:r>
    </w:p>
    <w:p w:rsidR="001B1727" w:rsidRDefault="001B1727">
      <w:pPr>
        <w:pStyle w:val="BodyText"/>
        <w:spacing w:before="12"/>
        <w:rPr>
          <w:sz w:val="23"/>
        </w:rPr>
      </w:pPr>
    </w:p>
    <w:p w:rsidR="001B1727" w:rsidRDefault="00934021">
      <w:pPr>
        <w:ind w:left="100" w:right="227"/>
        <w:jc w:val="both"/>
        <w:rPr>
          <w:sz w:val="24"/>
        </w:rPr>
      </w:pPr>
      <w:r>
        <w:rPr>
          <w:sz w:val="24"/>
        </w:rPr>
        <w:t>“Related Party Transactions” mean all transactions between the C</w:t>
      </w:r>
      <w:r>
        <w:rPr>
          <w:sz w:val="24"/>
        </w:rPr>
        <w:t xml:space="preserve">ompany on one hand and one or more related party on the other hand including contracts, arrangements </w:t>
      </w:r>
      <w:r>
        <w:rPr>
          <w:spacing w:val="-4"/>
          <w:sz w:val="24"/>
        </w:rPr>
        <w:t xml:space="preserve">and </w:t>
      </w:r>
      <w:r>
        <w:rPr>
          <w:sz w:val="24"/>
        </w:rPr>
        <w:t>transactions</w:t>
      </w:r>
      <w:r>
        <w:rPr>
          <w:spacing w:val="23"/>
          <w:sz w:val="24"/>
        </w:rPr>
        <w:t xml:space="preserve"> </w:t>
      </w:r>
      <w:r>
        <w:rPr>
          <w:sz w:val="24"/>
        </w:rPr>
        <w:t>as</w:t>
      </w:r>
      <w:r>
        <w:rPr>
          <w:spacing w:val="23"/>
          <w:sz w:val="24"/>
        </w:rPr>
        <w:t xml:space="preserve"> </w:t>
      </w:r>
      <w:r>
        <w:rPr>
          <w:sz w:val="24"/>
        </w:rPr>
        <w:t>envisaged</w:t>
      </w:r>
      <w:r>
        <w:rPr>
          <w:spacing w:val="21"/>
          <w:sz w:val="24"/>
        </w:rPr>
        <w:t xml:space="preserve"> </w:t>
      </w:r>
      <w:r>
        <w:rPr>
          <w:sz w:val="24"/>
        </w:rPr>
        <w:t>in</w:t>
      </w:r>
      <w:r>
        <w:rPr>
          <w:spacing w:val="19"/>
          <w:sz w:val="24"/>
        </w:rPr>
        <w:t xml:space="preserve"> </w:t>
      </w:r>
      <w:r>
        <w:rPr>
          <w:sz w:val="24"/>
        </w:rPr>
        <w:t>Section</w:t>
      </w:r>
      <w:r>
        <w:rPr>
          <w:spacing w:val="25"/>
          <w:sz w:val="24"/>
        </w:rPr>
        <w:t xml:space="preserve"> </w:t>
      </w:r>
      <w:r>
        <w:rPr>
          <w:sz w:val="24"/>
        </w:rPr>
        <w:t>188(1)</w:t>
      </w:r>
      <w:r>
        <w:rPr>
          <w:spacing w:val="19"/>
          <w:sz w:val="24"/>
        </w:rPr>
        <w:t xml:space="preserve"> </w:t>
      </w:r>
      <w:r>
        <w:rPr>
          <w:sz w:val="24"/>
        </w:rPr>
        <w:t>of</w:t>
      </w:r>
      <w:r>
        <w:rPr>
          <w:spacing w:val="20"/>
          <w:sz w:val="24"/>
        </w:rPr>
        <w:t xml:space="preserve"> </w:t>
      </w:r>
      <w:r>
        <w:rPr>
          <w:sz w:val="24"/>
        </w:rPr>
        <w:t>the</w:t>
      </w:r>
      <w:r>
        <w:rPr>
          <w:spacing w:val="21"/>
          <w:sz w:val="24"/>
        </w:rPr>
        <w:t xml:space="preserve"> </w:t>
      </w:r>
      <w:r>
        <w:rPr>
          <w:sz w:val="24"/>
        </w:rPr>
        <w:t>Act</w:t>
      </w:r>
      <w:r>
        <w:rPr>
          <w:spacing w:val="22"/>
          <w:sz w:val="24"/>
        </w:rPr>
        <w:t xml:space="preserve"> </w:t>
      </w:r>
      <w:r>
        <w:rPr>
          <w:sz w:val="24"/>
        </w:rPr>
        <w:t>and/or</w:t>
      </w:r>
      <w:r>
        <w:rPr>
          <w:spacing w:val="52"/>
          <w:sz w:val="24"/>
        </w:rPr>
        <w:t xml:space="preserve"> </w:t>
      </w:r>
      <w:r w:rsidR="001F363B">
        <w:rPr>
          <w:sz w:val="24"/>
        </w:rPr>
        <w:t>Regulation 2(</w:t>
      </w:r>
      <w:proofErr w:type="spellStart"/>
      <w:proofErr w:type="gramStart"/>
      <w:r w:rsidR="001F363B">
        <w:rPr>
          <w:sz w:val="24"/>
        </w:rPr>
        <w:t>zc</w:t>
      </w:r>
      <w:proofErr w:type="spellEnd"/>
      <w:proofErr w:type="gramEnd"/>
      <w:r w:rsidR="001F363B">
        <w:rPr>
          <w:sz w:val="24"/>
        </w:rPr>
        <w:t>) of LODR</w:t>
      </w:r>
      <w:r>
        <w:rPr>
          <w:sz w:val="24"/>
        </w:rPr>
        <w:t>.</w:t>
      </w:r>
    </w:p>
    <w:p w:rsidR="001B1727" w:rsidRDefault="001B1727">
      <w:pPr>
        <w:pStyle w:val="BodyText"/>
        <w:spacing w:before="4"/>
      </w:pPr>
    </w:p>
    <w:p w:rsidR="001B1727" w:rsidRDefault="00934021">
      <w:pPr>
        <w:pStyle w:val="BodyText"/>
        <w:ind w:left="100"/>
      </w:pPr>
      <w:r>
        <w:t>“Key Managerial Personnel” means</w:t>
      </w:r>
    </w:p>
    <w:p w:rsidR="001B1727" w:rsidRDefault="00934021">
      <w:pPr>
        <w:pStyle w:val="ListParagraph"/>
        <w:numPr>
          <w:ilvl w:val="1"/>
          <w:numId w:val="5"/>
        </w:numPr>
        <w:tabs>
          <w:tab w:val="left" w:pos="820"/>
        </w:tabs>
        <w:spacing w:line="278" w:lineRule="auto"/>
        <w:ind w:right="126"/>
      </w:pPr>
      <w:r>
        <w:t>the Chief Executive Officer or the Managing Director or the Manager and in their absence the Whole-Time</w:t>
      </w:r>
      <w:r>
        <w:rPr>
          <w:spacing w:val="-5"/>
        </w:rPr>
        <w:t xml:space="preserve"> </w:t>
      </w:r>
      <w:r>
        <w:t>Director;</w:t>
      </w:r>
    </w:p>
    <w:p w:rsidR="001B1727" w:rsidRDefault="00934021">
      <w:pPr>
        <w:pStyle w:val="ListParagraph"/>
        <w:numPr>
          <w:ilvl w:val="1"/>
          <w:numId w:val="5"/>
        </w:numPr>
        <w:tabs>
          <w:tab w:val="left" w:pos="854"/>
        </w:tabs>
        <w:spacing w:line="265" w:lineRule="exact"/>
        <w:ind w:left="853" w:hanging="394"/>
      </w:pPr>
      <w:r>
        <w:t>the Company</w:t>
      </w:r>
      <w:r>
        <w:rPr>
          <w:spacing w:val="-3"/>
        </w:rPr>
        <w:t xml:space="preserve"> </w:t>
      </w:r>
      <w:r>
        <w:t>Secretary;</w:t>
      </w:r>
    </w:p>
    <w:p w:rsidR="001B1727" w:rsidRDefault="00934021">
      <w:pPr>
        <w:pStyle w:val="ListParagraph"/>
        <w:numPr>
          <w:ilvl w:val="1"/>
          <w:numId w:val="5"/>
        </w:numPr>
        <w:tabs>
          <w:tab w:val="left" w:pos="883"/>
        </w:tabs>
        <w:spacing w:before="39"/>
        <w:ind w:left="882" w:hanging="423"/>
      </w:pPr>
      <w:r>
        <w:t>the Chief Financial Officer;</w:t>
      </w:r>
      <w:r>
        <w:rPr>
          <w:spacing w:val="-8"/>
        </w:rPr>
        <w:t xml:space="preserve"> </w:t>
      </w:r>
      <w:r>
        <w:t>and</w:t>
      </w:r>
    </w:p>
    <w:p w:rsidR="001B1727" w:rsidRDefault="00934021">
      <w:pPr>
        <w:pStyle w:val="ListParagraph"/>
        <w:numPr>
          <w:ilvl w:val="1"/>
          <w:numId w:val="5"/>
        </w:numPr>
        <w:tabs>
          <w:tab w:val="left" w:pos="902"/>
        </w:tabs>
        <w:spacing w:before="43" w:line="549" w:lineRule="auto"/>
        <w:ind w:left="100" w:right="924" w:firstLine="360"/>
      </w:pPr>
      <w:r>
        <w:t>any other person appointed as the KMP by the Board of Directors of the Company; “Board</w:t>
      </w:r>
      <w:r>
        <w:t xml:space="preserve"> of Directors or Board” means the collective body of the Directors of the</w:t>
      </w:r>
      <w:r>
        <w:rPr>
          <w:spacing w:val="-26"/>
        </w:rPr>
        <w:t xml:space="preserve"> </w:t>
      </w:r>
      <w:r>
        <w:t>Company;</w:t>
      </w:r>
    </w:p>
    <w:p w:rsidR="001B1727" w:rsidRDefault="00934021">
      <w:pPr>
        <w:pStyle w:val="BodyText"/>
        <w:spacing w:before="4" w:line="273" w:lineRule="auto"/>
        <w:ind w:left="100" w:right="123"/>
      </w:pPr>
      <w:r>
        <w:t xml:space="preserve">“Audit Committee” means the Audit Committee constituted by the Board of Directors of the Company in accordance with Section 177 of the Act and </w:t>
      </w:r>
      <w:r w:rsidR="001F363B">
        <w:t>Regulation 18 of LODR</w:t>
      </w:r>
      <w:r>
        <w:t>;</w:t>
      </w:r>
    </w:p>
    <w:p w:rsidR="001B1727" w:rsidRDefault="001B1727">
      <w:pPr>
        <w:pStyle w:val="BodyText"/>
        <w:spacing w:before="9"/>
        <w:rPr>
          <w:sz w:val="25"/>
        </w:rPr>
      </w:pPr>
    </w:p>
    <w:p w:rsidR="001B1727" w:rsidRDefault="00934021">
      <w:pPr>
        <w:pStyle w:val="BodyText"/>
        <w:spacing w:line="273" w:lineRule="auto"/>
        <w:ind w:left="100" w:right="123"/>
      </w:pPr>
      <w:r>
        <w:t>“Chief Executive Officer (CEO)” means an officer of the Company as defined in Section 2(18) of the Act;</w:t>
      </w:r>
    </w:p>
    <w:p w:rsidR="001B1727" w:rsidRDefault="00934021">
      <w:pPr>
        <w:pStyle w:val="BodyText"/>
        <w:spacing w:before="7" w:line="273" w:lineRule="auto"/>
        <w:ind w:left="100" w:right="123" w:firstLine="48"/>
      </w:pPr>
      <w:r>
        <w:t>“Chief Financial Officer (CFO)” means a person of the Company as defined in Section 2(19) of the Act;</w:t>
      </w:r>
    </w:p>
    <w:p w:rsidR="001B1727" w:rsidRDefault="00934021">
      <w:pPr>
        <w:pStyle w:val="BodyText"/>
        <w:spacing w:before="2" w:line="278" w:lineRule="auto"/>
        <w:ind w:left="100"/>
      </w:pPr>
      <w:r>
        <w:t>“Company Secretary (CS)” means a Company Secretary</w:t>
      </w:r>
      <w:r>
        <w:t xml:space="preserve"> as defined in Section 2(24) of the Act; “Managing Director” means Managing Director as defined in Section 2(54) of the Act;</w:t>
      </w:r>
    </w:p>
    <w:p w:rsidR="001B1727" w:rsidRDefault="001B1727">
      <w:pPr>
        <w:pStyle w:val="BodyText"/>
        <w:spacing w:before="10"/>
        <w:rPr>
          <w:sz w:val="24"/>
        </w:rPr>
      </w:pPr>
    </w:p>
    <w:p w:rsidR="001B1727" w:rsidRDefault="00934021">
      <w:pPr>
        <w:pStyle w:val="BodyText"/>
        <w:spacing w:line="276" w:lineRule="auto"/>
        <w:ind w:left="100" w:right="123"/>
      </w:pPr>
      <w:r>
        <w:t>“Whole-time Director” means Whole-time Director as defined in Section 2(94) of the Act; “Transaction” shall be construed to includ</w:t>
      </w:r>
      <w:r>
        <w:t>e single transaction or a group of transactions in a contract;</w:t>
      </w:r>
    </w:p>
    <w:p w:rsidR="001B1727" w:rsidRDefault="001B1727">
      <w:pPr>
        <w:spacing w:line="276" w:lineRule="auto"/>
        <w:sectPr w:rsidR="001B1727">
          <w:pgSz w:w="12240" w:h="15840"/>
          <w:pgMar w:top="1360" w:right="1320" w:bottom="280" w:left="1700" w:header="720" w:footer="720" w:gutter="0"/>
          <w:cols w:space="720"/>
        </w:sectPr>
      </w:pPr>
    </w:p>
    <w:p w:rsidR="001B1727" w:rsidRDefault="00934021">
      <w:pPr>
        <w:pStyle w:val="Heading2"/>
        <w:numPr>
          <w:ilvl w:val="0"/>
          <w:numId w:val="5"/>
        </w:numPr>
        <w:tabs>
          <w:tab w:val="left" w:pos="460"/>
        </w:tabs>
        <w:spacing w:before="77"/>
      </w:pPr>
      <w:r>
        <w:lastRenderedPageBreak/>
        <w:t>DEALING WITH RELATED PARTY</w:t>
      </w:r>
      <w:r>
        <w:rPr>
          <w:spacing w:val="-9"/>
        </w:rPr>
        <w:t xml:space="preserve"> </w:t>
      </w:r>
      <w:r>
        <w:t>TRANSACTIONS</w:t>
      </w:r>
    </w:p>
    <w:p w:rsidR="001B1727" w:rsidRDefault="001B1727">
      <w:pPr>
        <w:pStyle w:val="BodyText"/>
        <w:rPr>
          <w:b/>
        </w:rPr>
      </w:pPr>
    </w:p>
    <w:p w:rsidR="001B1727" w:rsidRDefault="00934021">
      <w:pPr>
        <w:pStyle w:val="BodyText"/>
        <w:ind w:left="100" w:right="117"/>
        <w:jc w:val="both"/>
      </w:pPr>
      <w:r>
        <w:t>Related Party Transactions are prohibited, unless approved or ratified by the Audit Committee and / or the Board of Directors of the Company i</w:t>
      </w:r>
      <w:r>
        <w:t>n accordance with this policy. In dealing with Related Party Transactions, the Company will follow the following</w:t>
      </w:r>
      <w:r>
        <w:rPr>
          <w:spacing w:val="-10"/>
        </w:rPr>
        <w:t xml:space="preserve"> </w:t>
      </w:r>
      <w:r>
        <w:t>approach:</w:t>
      </w:r>
    </w:p>
    <w:p w:rsidR="001B1727" w:rsidRDefault="001B1727">
      <w:pPr>
        <w:pStyle w:val="BodyText"/>
        <w:spacing w:before="1"/>
      </w:pPr>
    </w:p>
    <w:p w:rsidR="001B1727" w:rsidRDefault="00934021">
      <w:pPr>
        <w:pStyle w:val="ListParagraph"/>
        <w:numPr>
          <w:ilvl w:val="0"/>
          <w:numId w:val="3"/>
        </w:numPr>
        <w:tabs>
          <w:tab w:val="left" w:pos="1179"/>
          <w:tab w:val="left" w:pos="1180"/>
        </w:tabs>
        <w:rPr>
          <w:i/>
        </w:rPr>
      </w:pPr>
      <w:r>
        <w:rPr>
          <w:i/>
        </w:rPr>
        <w:t>Identification of Related Party</w:t>
      </w:r>
      <w:r>
        <w:rPr>
          <w:i/>
          <w:spacing w:val="-18"/>
        </w:rPr>
        <w:t xml:space="preserve"> </w:t>
      </w:r>
      <w:r>
        <w:rPr>
          <w:i/>
        </w:rPr>
        <w:t>Transactions</w:t>
      </w:r>
    </w:p>
    <w:p w:rsidR="001B1727" w:rsidRDefault="001B1727">
      <w:pPr>
        <w:pStyle w:val="BodyText"/>
        <w:spacing w:before="2"/>
        <w:rPr>
          <w:i/>
        </w:rPr>
      </w:pPr>
    </w:p>
    <w:p w:rsidR="001B1727" w:rsidRDefault="00934021">
      <w:pPr>
        <w:pStyle w:val="BodyText"/>
        <w:spacing w:before="1" w:line="237" w:lineRule="auto"/>
        <w:ind w:left="100" w:right="126"/>
        <w:jc w:val="both"/>
      </w:pPr>
      <w:r>
        <w:t>All Related Party Transactions must be brought to the notice of the Audit Committee of the Company. Any employee of the Company who is aware of any transaction that is or may be perceived to be a Related Party Transaction is required to bring the same to t</w:t>
      </w:r>
      <w:r>
        <w:t>he attention of the Audit Committee of the Company through Company Secretary.</w:t>
      </w:r>
    </w:p>
    <w:p w:rsidR="001B1727" w:rsidRDefault="001B1727">
      <w:pPr>
        <w:pStyle w:val="BodyText"/>
        <w:spacing w:before="5"/>
      </w:pPr>
    </w:p>
    <w:p w:rsidR="001B1727" w:rsidRDefault="00934021">
      <w:pPr>
        <w:pStyle w:val="BodyText"/>
        <w:ind w:left="100" w:right="116"/>
        <w:jc w:val="both"/>
      </w:pPr>
      <w:r>
        <w:t>All Directors, Members of the Management Committee and Key Managerial Personnel (KMPs) are responsible for informing the Company of their interest (including interest of their R</w:t>
      </w:r>
      <w:r>
        <w:t>elatives) in other companies, firms or concerns at the beginning of every financial year and any change in such interest during the year. In addition, all Directors, Members of the Management Committee and KMPs are responsible for providing notice to the C</w:t>
      </w:r>
      <w:r>
        <w:t>ompany Secretary of any potential Related Party Transaction involving him/her or his or her relative, including any additional information about the transaction that the Audit Committee may request. The Board shall record the disclosure of interest and the</w:t>
      </w:r>
      <w:r>
        <w:t xml:space="preserve"> Audit Committee will determine whether the transaction is in the ordinary course of business and on an arm’s length</w:t>
      </w:r>
      <w:r>
        <w:rPr>
          <w:spacing w:val="-16"/>
        </w:rPr>
        <w:t xml:space="preserve"> </w:t>
      </w:r>
      <w:r>
        <w:t>basis.</w:t>
      </w:r>
    </w:p>
    <w:p w:rsidR="001B1727" w:rsidRDefault="001B1727">
      <w:pPr>
        <w:pStyle w:val="BodyText"/>
        <w:spacing w:before="2"/>
      </w:pPr>
    </w:p>
    <w:p w:rsidR="001B1727" w:rsidRDefault="00934021">
      <w:pPr>
        <w:pStyle w:val="BodyText"/>
        <w:ind w:left="100" w:right="125"/>
        <w:jc w:val="both"/>
      </w:pPr>
      <w:r>
        <w:t>Such notice of any potential Related Party Transaction should be given well in advance so that the Company Secretary has adequate t</w:t>
      </w:r>
      <w:r>
        <w:t>ime to obtain and review information about the proposed transaction and to refer it to the Audit Committee.</w:t>
      </w:r>
    </w:p>
    <w:p w:rsidR="001B1727" w:rsidRDefault="001B1727">
      <w:pPr>
        <w:pStyle w:val="BodyText"/>
        <w:spacing w:before="1"/>
      </w:pPr>
    </w:p>
    <w:p w:rsidR="001B1727" w:rsidRDefault="00934021">
      <w:pPr>
        <w:pStyle w:val="ListParagraph"/>
        <w:numPr>
          <w:ilvl w:val="0"/>
          <w:numId w:val="3"/>
        </w:numPr>
        <w:tabs>
          <w:tab w:val="left" w:pos="1179"/>
          <w:tab w:val="left" w:pos="1180"/>
        </w:tabs>
        <w:rPr>
          <w:i/>
        </w:rPr>
      </w:pPr>
      <w:r>
        <w:rPr>
          <w:i/>
        </w:rPr>
        <w:t>Review and Approval of Related Party</w:t>
      </w:r>
      <w:r>
        <w:rPr>
          <w:i/>
          <w:spacing w:val="-5"/>
        </w:rPr>
        <w:t xml:space="preserve"> </w:t>
      </w:r>
      <w:r>
        <w:rPr>
          <w:i/>
        </w:rPr>
        <w:t>Transactions</w:t>
      </w:r>
    </w:p>
    <w:p w:rsidR="001B1727" w:rsidRDefault="001B1727">
      <w:pPr>
        <w:pStyle w:val="BodyText"/>
        <w:spacing w:before="5"/>
        <w:rPr>
          <w:i/>
        </w:rPr>
      </w:pPr>
    </w:p>
    <w:p w:rsidR="001B1727" w:rsidRDefault="00934021">
      <w:pPr>
        <w:pStyle w:val="BodyText"/>
        <w:spacing w:line="235" w:lineRule="auto"/>
        <w:ind w:left="100" w:right="121"/>
        <w:jc w:val="both"/>
      </w:pPr>
      <w:r>
        <w:t>Related Party Transactions are prohibited, unless approved or ratified by the Audit Committee of</w:t>
      </w:r>
      <w:r>
        <w:t xml:space="preserve"> the Company in accordance with this</w:t>
      </w:r>
      <w:r>
        <w:rPr>
          <w:spacing w:val="-9"/>
        </w:rPr>
        <w:t xml:space="preserve"> </w:t>
      </w:r>
      <w:r>
        <w:t>policy.</w:t>
      </w:r>
    </w:p>
    <w:p w:rsidR="001B1727" w:rsidRDefault="001B1727">
      <w:pPr>
        <w:pStyle w:val="BodyText"/>
        <w:spacing w:before="2"/>
      </w:pPr>
    </w:p>
    <w:p w:rsidR="001B1727" w:rsidRDefault="00934021">
      <w:pPr>
        <w:pStyle w:val="BodyText"/>
        <w:ind w:left="100" w:right="123"/>
        <w:jc w:val="both"/>
      </w:pPr>
      <w:r>
        <w:t xml:space="preserve">Unless otherwise stated in this policy, all Related Party Transactions require prior approval of the Audit Committee of the Company. All Related Party Transactions must be reported to the Company Secretary who </w:t>
      </w:r>
      <w:r>
        <w:t>shall submit the same for approval or ratification by the Audit Committee in accordance with this policy.</w:t>
      </w:r>
    </w:p>
    <w:p w:rsidR="001B1727" w:rsidRDefault="001B1727">
      <w:pPr>
        <w:pStyle w:val="BodyText"/>
        <w:spacing w:before="1"/>
      </w:pPr>
    </w:p>
    <w:p w:rsidR="001B1727" w:rsidRDefault="00934021">
      <w:pPr>
        <w:pStyle w:val="BodyText"/>
        <w:spacing w:before="1"/>
        <w:ind w:left="100"/>
        <w:jc w:val="both"/>
      </w:pPr>
      <w:r>
        <w:t>The Audit Committee shall grant omnibus approval to Related Party Transactions that are:</w:t>
      </w:r>
    </w:p>
    <w:p w:rsidR="001B1727" w:rsidRDefault="001B1727">
      <w:pPr>
        <w:pStyle w:val="BodyText"/>
      </w:pPr>
    </w:p>
    <w:p w:rsidR="001B1727" w:rsidRDefault="00934021">
      <w:pPr>
        <w:pStyle w:val="ListParagraph"/>
        <w:numPr>
          <w:ilvl w:val="0"/>
          <w:numId w:val="2"/>
        </w:numPr>
        <w:tabs>
          <w:tab w:val="left" w:pos="312"/>
        </w:tabs>
      </w:pPr>
      <w:r>
        <w:t>repetitive in nature;</w:t>
      </w:r>
      <w:r>
        <w:rPr>
          <w:spacing w:val="-9"/>
        </w:rPr>
        <w:t xml:space="preserve"> </w:t>
      </w:r>
      <w:r>
        <w:t>and/or</w:t>
      </w:r>
    </w:p>
    <w:p w:rsidR="001B1727" w:rsidRDefault="001B1727">
      <w:pPr>
        <w:pStyle w:val="BodyText"/>
      </w:pPr>
    </w:p>
    <w:p w:rsidR="001B1727" w:rsidRDefault="00934021">
      <w:pPr>
        <w:pStyle w:val="ListParagraph"/>
        <w:numPr>
          <w:ilvl w:val="0"/>
          <w:numId w:val="2"/>
        </w:numPr>
        <w:tabs>
          <w:tab w:val="left" w:pos="331"/>
        </w:tabs>
        <w:spacing w:before="1"/>
        <w:ind w:left="100" w:right="121" w:firstLine="0"/>
      </w:pPr>
      <w:proofErr w:type="gramStart"/>
      <w:r>
        <w:t>entered</w:t>
      </w:r>
      <w:proofErr w:type="gramEnd"/>
      <w:r>
        <w:t xml:space="preserve"> in the ordinary course of business and are at Arm’s Length. The expression Arm’s Length has the meaning ascribed to it under Section 188 of the Companies Act,</w:t>
      </w:r>
      <w:r>
        <w:rPr>
          <w:spacing w:val="-29"/>
        </w:rPr>
        <w:t xml:space="preserve"> </w:t>
      </w:r>
      <w:r>
        <w:t>2013.</w:t>
      </w:r>
    </w:p>
    <w:p w:rsidR="001B1727" w:rsidRDefault="001B1727">
      <w:pPr>
        <w:pStyle w:val="BodyText"/>
      </w:pPr>
    </w:p>
    <w:p w:rsidR="001B1727" w:rsidRDefault="00934021">
      <w:pPr>
        <w:pStyle w:val="BodyText"/>
        <w:ind w:left="100" w:right="115"/>
        <w:jc w:val="both"/>
      </w:pPr>
      <w:r>
        <w:t>Such omnibus approval will be granted to the transactions which, in addition to me</w:t>
      </w:r>
      <w:r>
        <w:t>eting the above criteria, also satisfy the following considerations:</w:t>
      </w:r>
    </w:p>
    <w:p w:rsidR="001B1727" w:rsidRDefault="001B1727">
      <w:pPr>
        <w:jc w:val="both"/>
        <w:sectPr w:rsidR="001B1727">
          <w:pgSz w:w="12240" w:h="15840"/>
          <w:pgMar w:top="1360" w:right="1320" w:bottom="280" w:left="1700" w:header="720" w:footer="720" w:gutter="0"/>
          <w:cols w:space="720"/>
        </w:sectPr>
      </w:pPr>
    </w:p>
    <w:p w:rsidR="001B1727" w:rsidRDefault="00934021">
      <w:pPr>
        <w:pStyle w:val="ListParagraph"/>
        <w:numPr>
          <w:ilvl w:val="0"/>
          <w:numId w:val="1"/>
        </w:numPr>
        <w:tabs>
          <w:tab w:val="left" w:pos="460"/>
        </w:tabs>
        <w:spacing w:before="77"/>
        <w:ind w:right="123"/>
        <w:jc w:val="both"/>
      </w:pPr>
      <w:r>
        <w:lastRenderedPageBreak/>
        <w:t>The transaction in question is necessary to be executed as it is in the business interest of the Company;</w:t>
      </w:r>
    </w:p>
    <w:p w:rsidR="001B1727" w:rsidRDefault="00934021">
      <w:pPr>
        <w:pStyle w:val="ListParagraph"/>
        <w:numPr>
          <w:ilvl w:val="0"/>
          <w:numId w:val="1"/>
        </w:numPr>
        <w:tabs>
          <w:tab w:val="left" w:pos="460"/>
        </w:tabs>
        <w:ind w:right="124"/>
        <w:jc w:val="both"/>
      </w:pPr>
      <w:r>
        <w:t>If the transaction to be entered into with a Related Party is concernin</w:t>
      </w:r>
      <w:r>
        <w:t>g technology transfer, intellectual property or specialized services that are proprietary in</w:t>
      </w:r>
      <w:r>
        <w:rPr>
          <w:spacing w:val="-19"/>
        </w:rPr>
        <w:t xml:space="preserve"> </w:t>
      </w:r>
      <w:r>
        <w:t>nature;</w:t>
      </w:r>
    </w:p>
    <w:p w:rsidR="001B1727" w:rsidRDefault="00934021">
      <w:pPr>
        <w:pStyle w:val="ListParagraph"/>
        <w:numPr>
          <w:ilvl w:val="0"/>
          <w:numId w:val="1"/>
        </w:numPr>
        <w:tabs>
          <w:tab w:val="left" w:pos="460"/>
        </w:tabs>
        <w:spacing w:before="1"/>
        <w:ind w:right="126"/>
        <w:jc w:val="both"/>
      </w:pPr>
      <w:r>
        <w:t>The requisite information is presented to the Audit Committee’s satisfaction, to confirm that the transaction is at Arm’s Length and in ordinary course of</w:t>
      </w:r>
      <w:r>
        <w:rPr>
          <w:spacing w:val="-20"/>
        </w:rPr>
        <w:t xml:space="preserve"> </w:t>
      </w:r>
      <w:r>
        <w:t>business;</w:t>
      </w:r>
    </w:p>
    <w:p w:rsidR="001B1727" w:rsidRDefault="00934021">
      <w:pPr>
        <w:pStyle w:val="ListParagraph"/>
        <w:numPr>
          <w:ilvl w:val="0"/>
          <w:numId w:val="1"/>
        </w:numPr>
        <w:tabs>
          <w:tab w:val="left" w:pos="460"/>
        </w:tabs>
        <w:ind w:right="123"/>
        <w:jc w:val="both"/>
      </w:pPr>
      <w:r>
        <w:t>Such omnibus approval shall specify (</w:t>
      </w:r>
      <w:proofErr w:type="spellStart"/>
      <w:r>
        <w:t>i</w:t>
      </w:r>
      <w:proofErr w:type="spellEnd"/>
      <w:r>
        <w:t>) the name/s of the Related Party, nature of transaction, period of transaction, maximum amount of transaction that can be entered into, (ii) the indicative value and the formula for variation in the value, i</w:t>
      </w:r>
      <w:r>
        <w:t>f any and (iii) such other conditions as the Audit Committee may deem</w:t>
      </w:r>
      <w:r>
        <w:rPr>
          <w:spacing w:val="-12"/>
        </w:rPr>
        <w:t xml:space="preserve"> </w:t>
      </w:r>
      <w:r>
        <w:t>fit;</w:t>
      </w:r>
    </w:p>
    <w:p w:rsidR="001B1727" w:rsidRDefault="001B1727">
      <w:pPr>
        <w:pStyle w:val="BodyText"/>
        <w:spacing w:before="9"/>
        <w:rPr>
          <w:sz w:val="21"/>
        </w:rPr>
      </w:pPr>
    </w:p>
    <w:p w:rsidR="001B1727" w:rsidRDefault="00934021">
      <w:pPr>
        <w:pStyle w:val="BodyText"/>
        <w:ind w:left="100" w:right="116"/>
        <w:jc w:val="both"/>
      </w:pPr>
      <w:r>
        <w:t>Such omnibus approval shall be valid for a period not exceeding one year and shall require fresh approval after the expiry of one year.</w:t>
      </w:r>
    </w:p>
    <w:p w:rsidR="001B1727" w:rsidRDefault="001B1727">
      <w:pPr>
        <w:pStyle w:val="BodyText"/>
      </w:pPr>
    </w:p>
    <w:p w:rsidR="001B1727" w:rsidRDefault="00934021">
      <w:pPr>
        <w:pStyle w:val="BodyText"/>
        <w:ind w:left="100" w:right="128"/>
        <w:jc w:val="both"/>
      </w:pPr>
      <w:r>
        <w:t>The Audit Committee shall on quarterly basi</w:t>
      </w:r>
      <w:r>
        <w:t>s review the details of the Related Party Transactions entered into by the Company pursuant to the omnibus approval.</w:t>
      </w:r>
    </w:p>
    <w:p w:rsidR="001B1727" w:rsidRDefault="001B1727">
      <w:pPr>
        <w:pStyle w:val="BodyText"/>
        <w:spacing w:before="1"/>
      </w:pPr>
    </w:p>
    <w:p w:rsidR="001B1727" w:rsidRDefault="00934021">
      <w:pPr>
        <w:pStyle w:val="BodyText"/>
        <w:ind w:left="100" w:right="113"/>
        <w:jc w:val="both"/>
      </w:pPr>
      <w:r>
        <w:t>In an unforeseen event where a Related Party Transaction, for which Omnibus approval has not been given by the Audit Committee, needs to be entered due to business exigencies between two Audit Committee meetings, the Audit Committee may approve such Relate</w:t>
      </w:r>
      <w:r>
        <w:t>d Party Transaction by passing a resolution by circulation, after satisfying itself that such transaction is in the interest of the Company.</w:t>
      </w:r>
    </w:p>
    <w:p w:rsidR="001B1727" w:rsidRDefault="001B1727">
      <w:pPr>
        <w:pStyle w:val="BodyText"/>
        <w:spacing w:before="1"/>
      </w:pPr>
    </w:p>
    <w:p w:rsidR="001B1727" w:rsidRDefault="00934021">
      <w:pPr>
        <w:pStyle w:val="BodyText"/>
        <w:spacing w:before="1"/>
        <w:ind w:left="100" w:right="118"/>
        <w:jc w:val="both"/>
      </w:pPr>
      <w:r>
        <w:t xml:space="preserve">Ratification, if any, of a Related Party Transaction after its commencement or completion will be approved by the </w:t>
      </w:r>
      <w:r>
        <w:t>Audit Committee in exceptional circumstances only.</w:t>
      </w:r>
    </w:p>
    <w:p w:rsidR="001B1727" w:rsidRDefault="001B1727">
      <w:pPr>
        <w:pStyle w:val="BodyText"/>
      </w:pPr>
    </w:p>
    <w:p w:rsidR="001B1727" w:rsidRDefault="00934021">
      <w:pPr>
        <w:pStyle w:val="BodyText"/>
        <w:ind w:left="100" w:right="117"/>
        <w:jc w:val="both"/>
      </w:pPr>
      <w:r>
        <w:t xml:space="preserve">A Related Party Transaction entered into without prior approval of the Audit Committee shall not be deemed to violate this policy, or be invalid or unenforceable, so long as the transaction is brought to </w:t>
      </w:r>
      <w:r>
        <w:t>the Audit Committee for ratification as promptly as reasonably practical after it is entered into and such transaction is ratified.</w:t>
      </w:r>
    </w:p>
    <w:p w:rsidR="001B1727" w:rsidRDefault="001B1727">
      <w:pPr>
        <w:pStyle w:val="BodyText"/>
        <w:spacing w:before="9"/>
        <w:rPr>
          <w:sz w:val="21"/>
        </w:rPr>
      </w:pPr>
    </w:p>
    <w:p w:rsidR="001B1727" w:rsidRDefault="00934021">
      <w:pPr>
        <w:pStyle w:val="BodyText"/>
        <w:ind w:left="100" w:right="121"/>
        <w:jc w:val="both"/>
      </w:pPr>
      <w:r>
        <w:t>Any member of the Audit Committee, who has a potential interest in any Related Party Transaction, will recluse him or herse</w:t>
      </w:r>
      <w:r>
        <w:t>lf and abstain from voting on the approval or ratification of such Related Party Transaction. Such member may, however, participate in discussions with respect to other Related Party Transactions placed for approval or ratification of the Audit Committee.</w:t>
      </w:r>
    </w:p>
    <w:p w:rsidR="001B1727" w:rsidRDefault="001B1727">
      <w:pPr>
        <w:pStyle w:val="BodyText"/>
        <w:spacing w:before="1"/>
      </w:pPr>
    </w:p>
    <w:p w:rsidR="001B1727" w:rsidRDefault="00934021">
      <w:pPr>
        <w:pStyle w:val="BodyText"/>
        <w:ind w:left="100" w:right="117"/>
        <w:jc w:val="both"/>
      </w:pPr>
      <w:r>
        <w:t>All Related Party Transactions that are not in the ordinary course of business or not on arm’s length basis shall be referred to the Board of Directors for their approval. Any member of the Board who has a potential interest in such Related Party Transact</w:t>
      </w:r>
      <w:r>
        <w:t>ion will recluse him or herself and abstain from voting on the approval of such Related Party Transaction. Such member may, however, participate in discussions with respect to other Related Party Transactions placed for approval of the Board.</w:t>
      </w:r>
    </w:p>
    <w:p w:rsidR="001B1727" w:rsidRDefault="001B1727">
      <w:pPr>
        <w:pStyle w:val="BodyText"/>
        <w:spacing w:before="2"/>
      </w:pPr>
    </w:p>
    <w:p w:rsidR="001B1727" w:rsidRDefault="00934021">
      <w:pPr>
        <w:pStyle w:val="BodyText"/>
        <w:ind w:left="100" w:right="118"/>
        <w:jc w:val="both"/>
      </w:pPr>
      <w:r>
        <w:t>Any such Rel</w:t>
      </w:r>
      <w:r>
        <w:t>ated Party Transactions shall also be placed for prior approval of shareholders if it exceeds the thresholds as prescribed under the Companies Act, 2013 and rules framed there under and the Listing Agreement.</w:t>
      </w:r>
    </w:p>
    <w:p w:rsidR="001B1727" w:rsidRDefault="001B1727">
      <w:pPr>
        <w:jc w:val="both"/>
        <w:sectPr w:rsidR="001B1727">
          <w:pgSz w:w="12240" w:h="15840"/>
          <w:pgMar w:top="1360" w:right="1320" w:bottom="280" w:left="1700" w:header="720" w:footer="720" w:gutter="0"/>
          <w:cols w:space="720"/>
        </w:sectPr>
      </w:pPr>
    </w:p>
    <w:p w:rsidR="001B1727" w:rsidRDefault="00934021">
      <w:pPr>
        <w:pStyle w:val="BodyText"/>
        <w:spacing w:before="77"/>
        <w:ind w:left="100" w:right="117"/>
        <w:jc w:val="both"/>
      </w:pPr>
      <w:r>
        <w:lastRenderedPageBreak/>
        <w:t>All entities falling under the defini</w:t>
      </w:r>
      <w:r>
        <w:t>tion of Related Parties shall abstain from voting irrespective of whether the entity is a party to the particular transaction or not.</w:t>
      </w:r>
    </w:p>
    <w:p w:rsidR="001B1727" w:rsidRDefault="001B1727">
      <w:pPr>
        <w:pStyle w:val="BodyText"/>
      </w:pPr>
    </w:p>
    <w:p w:rsidR="001B1727" w:rsidRDefault="00934021">
      <w:pPr>
        <w:pStyle w:val="ListParagraph"/>
        <w:numPr>
          <w:ilvl w:val="0"/>
          <w:numId w:val="3"/>
        </w:numPr>
        <w:tabs>
          <w:tab w:val="left" w:pos="1180"/>
        </w:tabs>
        <w:jc w:val="both"/>
        <w:rPr>
          <w:i/>
        </w:rPr>
      </w:pPr>
      <w:r>
        <w:rPr>
          <w:i/>
        </w:rPr>
        <w:t>Related Party Transactions that shall not require</w:t>
      </w:r>
      <w:r>
        <w:rPr>
          <w:i/>
          <w:spacing w:val="-14"/>
        </w:rPr>
        <w:t xml:space="preserve"> </w:t>
      </w:r>
      <w:r>
        <w:rPr>
          <w:i/>
        </w:rPr>
        <w:t>Approval</w:t>
      </w:r>
    </w:p>
    <w:p w:rsidR="001B1727" w:rsidRDefault="001B1727">
      <w:pPr>
        <w:pStyle w:val="BodyText"/>
        <w:spacing w:before="1"/>
        <w:rPr>
          <w:i/>
        </w:rPr>
      </w:pPr>
    </w:p>
    <w:p w:rsidR="001B1727" w:rsidRDefault="00934021">
      <w:pPr>
        <w:pStyle w:val="BodyText"/>
        <w:ind w:left="100"/>
        <w:jc w:val="both"/>
      </w:pPr>
      <w:r>
        <w:t>Following transactions shall not require separate approval under this policy:</w:t>
      </w:r>
    </w:p>
    <w:p w:rsidR="001B1727" w:rsidRDefault="00934021">
      <w:pPr>
        <w:pStyle w:val="ListParagraph"/>
        <w:numPr>
          <w:ilvl w:val="1"/>
          <w:numId w:val="1"/>
        </w:numPr>
        <w:tabs>
          <w:tab w:val="left" w:pos="820"/>
        </w:tabs>
        <w:spacing w:before="4" w:line="237" w:lineRule="auto"/>
        <w:ind w:right="123"/>
        <w:jc w:val="both"/>
      </w:pPr>
      <w:r>
        <w:t>Any transaction pertaining to appointment and remuneration of Directors and KMPs that has already been approved by the Nomination and Remuneration Committee of the Company or the</w:t>
      </w:r>
      <w:r>
        <w:rPr>
          <w:spacing w:val="-6"/>
        </w:rPr>
        <w:t xml:space="preserve"> </w:t>
      </w:r>
      <w:r>
        <w:t>Board;</w:t>
      </w:r>
    </w:p>
    <w:p w:rsidR="001B1727" w:rsidRDefault="00934021">
      <w:pPr>
        <w:pStyle w:val="ListParagraph"/>
        <w:numPr>
          <w:ilvl w:val="1"/>
          <w:numId w:val="1"/>
        </w:numPr>
        <w:tabs>
          <w:tab w:val="left" w:pos="820"/>
        </w:tabs>
        <w:spacing w:before="4"/>
        <w:ind w:right="119"/>
        <w:jc w:val="both"/>
      </w:pPr>
      <w:r>
        <w:t>Transactions that have been approved by the Board under the specific provisions of the Companies Act, e.g. inter-corporate deposits, borrowings, investments with other Related Parties;</w:t>
      </w:r>
    </w:p>
    <w:p w:rsidR="001B1727" w:rsidRDefault="00934021">
      <w:pPr>
        <w:pStyle w:val="ListParagraph"/>
        <w:numPr>
          <w:ilvl w:val="1"/>
          <w:numId w:val="1"/>
        </w:numPr>
        <w:tabs>
          <w:tab w:val="left" w:pos="820"/>
        </w:tabs>
        <w:spacing w:before="2" w:line="299" w:lineRule="exact"/>
        <w:jc w:val="both"/>
      </w:pPr>
      <w:r>
        <w:t>Payment of</w:t>
      </w:r>
      <w:r>
        <w:rPr>
          <w:spacing w:val="-6"/>
        </w:rPr>
        <w:t xml:space="preserve"> </w:t>
      </w:r>
      <w:r>
        <w:t>Dividend;</w:t>
      </w:r>
    </w:p>
    <w:p w:rsidR="001B1727" w:rsidRDefault="00934021">
      <w:pPr>
        <w:pStyle w:val="ListParagraph"/>
        <w:numPr>
          <w:ilvl w:val="1"/>
          <w:numId w:val="1"/>
        </w:numPr>
        <w:tabs>
          <w:tab w:val="left" w:pos="820"/>
        </w:tabs>
        <w:ind w:right="120"/>
        <w:jc w:val="both"/>
      </w:pPr>
      <w:r>
        <w:t>Transactions involving corporate restructu</w:t>
      </w:r>
      <w:r>
        <w:t>ring, such as buy-back of shares, capital</w:t>
      </w:r>
      <w:r>
        <w:rPr>
          <w:spacing w:val="-27"/>
        </w:rPr>
        <w:t xml:space="preserve"> </w:t>
      </w:r>
      <w:r>
        <w:t>reduction, merger, demerger, hive-off, approved by the Board and carried out in accordance with the specific provisions of the Companies Act, 2013 or the Equity Listing</w:t>
      </w:r>
      <w:r>
        <w:rPr>
          <w:spacing w:val="-18"/>
        </w:rPr>
        <w:t xml:space="preserve"> </w:t>
      </w:r>
      <w:r>
        <w:t>Agreement;</w:t>
      </w:r>
    </w:p>
    <w:p w:rsidR="001B1727" w:rsidRDefault="001B1727">
      <w:pPr>
        <w:pStyle w:val="BodyText"/>
      </w:pPr>
    </w:p>
    <w:p w:rsidR="001B1727" w:rsidRDefault="00934021">
      <w:pPr>
        <w:pStyle w:val="Heading2"/>
        <w:numPr>
          <w:ilvl w:val="0"/>
          <w:numId w:val="5"/>
        </w:numPr>
        <w:tabs>
          <w:tab w:val="left" w:pos="460"/>
        </w:tabs>
      </w:pPr>
      <w:r>
        <w:t>MATERIALITY</w:t>
      </w:r>
      <w:r>
        <w:rPr>
          <w:spacing w:val="-3"/>
        </w:rPr>
        <w:t xml:space="preserve"> </w:t>
      </w:r>
      <w:r>
        <w:t>THRESHOLDS</w:t>
      </w:r>
    </w:p>
    <w:p w:rsidR="001B1727" w:rsidRDefault="001B1727">
      <w:pPr>
        <w:pStyle w:val="BodyText"/>
        <w:rPr>
          <w:b/>
          <w:sz w:val="24"/>
        </w:rPr>
      </w:pPr>
    </w:p>
    <w:p w:rsidR="00934021" w:rsidRDefault="00934021">
      <w:pPr>
        <w:pStyle w:val="BodyText"/>
        <w:ind w:left="100" w:right="118"/>
        <w:jc w:val="both"/>
        <w:rPr>
          <w:sz w:val="23"/>
          <w:szCs w:val="23"/>
        </w:rPr>
      </w:pPr>
      <w:r>
        <w:t xml:space="preserve">As per </w:t>
      </w:r>
      <w:r w:rsidR="001F363B">
        <w:t xml:space="preserve">Regulation </w:t>
      </w:r>
      <w:r>
        <w:t xml:space="preserve">23 (1A) of LODR, </w:t>
      </w:r>
      <w:r>
        <w:rPr>
          <w:sz w:val="23"/>
          <w:szCs w:val="23"/>
        </w:rPr>
        <w:t>a transaction involving payments made to a related party with respect to brand usage or royalty shall be considered material if the transaction(s) to be entered into individually or taken together with previous transactions during a financial year, exceed five percent of the annual consolidated turnover of the listed entity as per the last audited financial statements of the listed entity.</w:t>
      </w:r>
    </w:p>
    <w:p w:rsidR="00934021" w:rsidRDefault="00934021" w:rsidP="00934021">
      <w:pPr>
        <w:pStyle w:val="Default"/>
      </w:pPr>
    </w:p>
    <w:p w:rsidR="00934021" w:rsidRDefault="00934021" w:rsidP="00934021">
      <w:pPr>
        <w:pStyle w:val="BodyText"/>
        <w:ind w:left="100" w:right="118"/>
        <w:jc w:val="both"/>
        <w:rPr>
          <w:sz w:val="23"/>
          <w:szCs w:val="23"/>
        </w:rPr>
      </w:pPr>
      <w:r>
        <w:rPr>
          <w:sz w:val="23"/>
          <w:szCs w:val="23"/>
        </w:rPr>
        <w:t>All material related party transactions shall require approval of the shareholders through resolution and no related party shall vote to approve] such resolutions whether the entity is a related party to the particular transaction or not.</w:t>
      </w:r>
    </w:p>
    <w:p w:rsidR="001B1727" w:rsidRDefault="001B1727">
      <w:pPr>
        <w:pStyle w:val="BodyText"/>
        <w:spacing w:before="3"/>
        <w:rPr>
          <w:sz w:val="25"/>
        </w:rPr>
      </w:pPr>
    </w:p>
    <w:p w:rsidR="001B1727" w:rsidRDefault="00934021">
      <w:pPr>
        <w:pStyle w:val="Heading2"/>
        <w:numPr>
          <w:ilvl w:val="0"/>
          <w:numId w:val="5"/>
        </w:numPr>
        <w:tabs>
          <w:tab w:val="left" w:pos="460"/>
        </w:tabs>
      </w:pPr>
      <w:r>
        <w:t>DISCLOSURE(S)</w:t>
      </w:r>
    </w:p>
    <w:p w:rsidR="001B1727" w:rsidRDefault="001B1727">
      <w:pPr>
        <w:pStyle w:val="BodyText"/>
        <w:rPr>
          <w:b/>
          <w:sz w:val="24"/>
        </w:rPr>
      </w:pPr>
    </w:p>
    <w:p w:rsidR="001B1727" w:rsidRDefault="00934021">
      <w:pPr>
        <w:pStyle w:val="BodyText"/>
        <w:ind w:left="100" w:right="122"/>
        <w:jc w:val="both"/>
      </w:pPr>
      <w:r>
        <w:t>Details of all Material Related Parties Transactions shall be disclosed, on quarterly</w:t>
      </w:r>
      <w:r>
        <w:t xml:space="preserve"> basis, along with the compliance report on corporate governance, to the Stock Exchanges.</w:t>
      </w:r>
    </w:p>
    <w:p w:rsidR="001B1727" w:rsidRDefault="001B1727">
      <w:pPr>
        <w:pStyle w:val="BodyText"/>
        <w:spacing w:before="1"/>
      </w:pPr>
    </w:p>
    <w:p w:rsidR="001B1727" w:rsidRDefault="00934021">
      <w:pPr>
        <w:pStyle w:val="BodyText"/>
        <w:ind w:left="100" w:right="118"/>
        <w:jc w:val="both"/>
      </w:pPr>
      <w:r>
        <w:t xml:space="preserve">The Company shall disclose the policy on dealing with Related Party Transactions on its website and provide </w:t>
      </w:r>
      <w:proofErr w:type="spellStart"/>
      <w:r>
        <w:t>weblink</w:t>
      </w:r>
      <w:proofErr w:type="spellEnd"/>
      <w:r>
        <w:t xml:space="preserve"> in the Annual Report. In addition to the disclosures required under Accounting Standard, Related Party Transactions that are not at arm’s le</w:t>
      </w:r>
      <w:r>
        <w:t>ngth basis and Material Related Party Transactions that are at arm’s length or such other transactions as may be statutorily required, shall be disclosed in the Annual Report of the Company.</w:t>
      </w:r>
    </w:p>
    <w:p w:rsidR="001B1727" w:rsidRDefault="001B1727">
      <w:pPr>
        <w:pStyle w:val="BodyText"/>
        <w:spacing w:before="9"/>
        <w:rPr>
          <w:sz w:val="21"/>
        </w:rPr>
      </w:pPr>
    </w:p>
    <w:p w:rsidR="001B1727" w:rsidRDefault="00934021">
      <w:pPr>
        <w:pStyle w:val="Heading2"/>
        <w:numPr>
          <w:ilvl w:val="0"/>
          <w:numId w:val="5"/>
        </w:numPr>
        <w:tabs>
          <w:tab w:val="left" w:pos="460"/>
        </w:tabs>
      </w:pPr>
      <w:r>
        <w:t>AMENDMENTS TO THE</w:t>
      </w:r>
      <w:r>
        <w:rPr>
          <w:spacing w:val="-8"/>
        </w:rPr>
        <w:t xml:space="preserve"> </w:t>
      </w:r>
      <w:r>
        <w:t>POLICY</w:t>
      </w:r>
    </w:p>
    <w:p w:rsidR="001B1727" w:rsidRDefault="001B1727">
      <w:pPr>
        <w:pStyle w:val="BodyText"/>
        <w:rPr>
          <w:b/>
          <w:sz w:val="24"/>
        </w:rPr>
      </w:pPr>
    </w:p>
    <w:p w:rsidR="001B1727" w:rsidRDefault="00934021">
      <w:pPr>
        <w:pStyle w:val="BodyText"/>
        <w:ind w:left="100" w:right="117"/>
        <w:jc w:val="both"/>
      </w:pPr>
      <w:r>
        <w:t>The Audit Committee of the Company sha</w:t>
      </w:r>
      <w:r>
        <w:t>ll review and may amend this policy from time to time, subject to the approval of the Board of Directors of the Company.</w:t>
      </w:r>
    </w:p>
    <w:p w:rsidR="001B1727" w:rsidRDefault="001B1727">
      <w:pPr>
        <w:pStyle w:val="BodyText"/>
        <w:spacing w:before="1"/>
      </w:pPr>
    </w:p>
    <w:p w:rsidR="001B1727" w:rsidRDefault="00934021">
      <w:pPr>
        <w:pStyle w:val="BodyText"/>
        <w:ind w:left="100" w:right="122"/>
        <w:jc w:val="both"/>
      </w:pPr>
      <w:r>
        <w:t>Any or all provisions of this policy would be subject to revision / amendment in accordance with the Rules, Regulations, Notifications</w:t>
      </w:r>
      <w:r>
        <w:t>, etc. on the subject as may be issued by relevant statutory authorities, from time to time. In case of any amendment(s), clarification(s), circular(s) etc. issued by the relevant authorities, not being consistent with the provisions laid down under this p</w:t>
      </w:r>
      <w:r>
        <w:t>olicy, then such amendment(s), clarification(s), circular(s), etc. shall prevail upon the provisions hereunder and</w:t>
      </w:r>
    </w:p>
    <w:p w:rsidR="001B1727" w:rsidRDefault="001B1727">
      <w:pPr>
        <w:jc w:val="both"/>
        <w:sectPr w:rsidR="001B1727">
          <w:pgSz w:w="12240" w:h="15840"/>
          <w:pgMar w:top="1360" w:right="1320" w:bottom="280" w:left="1700" w:header="720" w:footer="720" w:gutter="0"/>
          <w:cols w:space="720"/>
        </w:sectPr>
      </w:pPr>
    </w:p>
    <w:p w:rsidR="001B1727" w:rsidRDefault="00934021">
      <w:pPr>
        <w:pStyle w:val="BodyText"/>
        <w:spacing w:before="77"/>
        <w:ind w:left="100"/>
      </w:pPr>
      <w:proofErr w:type="gramStart"/>
      <w:r>
        <w:lastRenderedPageBreak/>
        <w:t>this</w:t>
      </w:r>
      <w:proofErr w:type="gramEnd"/>
      <w:r>
        <w:t xml:space="preserve"> policy shall stand amended accordingly from the effective date as laid down under such amendment(s), clarification(s), circula</w:t>
      </w:r>
      <w:r>
        <w:t>r(s), etc.</w:t>
      </w:r>
    </w:p>
    <w:p w:rsidR="001B1727" w:rsidRDefault="001B1727">
      <w:pPr>
        <w:pStyle w:val="BodyText"/>
        <w:rPr>
          <w:sz w:val="26"/>
        </w:rPr>
      </w:pPr>
    </w:p>
    <w:p w:rsidR="001B1727" w:rsidRDefault="001B1727">
      <w:pPr>
        <w:pStyle w:val="BodyText"/>
      </w:pPr>
    </w:p>
    <w:p w:rsidR="001B1727" w:rsidRDefault="00934021">
      <w:pPr>
        <w:pStyle w:val="Heading1"/>
        <w:ind w:left="3639" w:right="4001"/>
        <w:jc w:val="center"/>
        <w:rPr>
          <w:rFonts w:ascii="Cambria"/>
        </w:rPr>
      </w:pPr>
      <w:r>
        <w:rPr>
          <w:rFonts w:ascii="Cambria"/>
        </w:rPr>
        <w:t>***************</w:t>
      </w:r>
    </w:p>
    <w:sectPr w:rsidR="001B1727" w:rsidSect="001B1727">
      <w:pgSz w:w="12240" w:h="15840"/>
      <w:pgMar w:top="1360" w:right="132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945"/>
    <w:multiLevelType w:val="hybridMultilevel"/>
    <w:tmpl w:val="9BE4244E"/>
    <w:lvl w:ilvl="0" w:tplc="0BD08A86">
      <w:start w:val="1"/>
      <w:numFmt w:val="lowerLetter"/>
      <w:lvlText w:val="(%1)"/>
      <w:lvlJc w:val="left"/>
      <w:pPr>
        <w:ind w:left="460" w:hanging="360"/>
        <w:jc w:val="left"/>
      </w:pPr>
      <w:rPr>
        <w:rFonts w:ascii="Calibri" w:eastAsia="Calibri" w:hAnsi="Calibri" w:cs="Calibri" w:hint="default"/>
        <w:w w:val="100"/>
        <w:sz w:val="22"/>
        <w:szCs w:val="22"/>
        <w:lang w:val="en-US" w:eastAsia="en-US" w:bidi="en-US"/>
      </w:rPr>
    </w:lvl>
    <w:lvl w:ilvl="1" w:tplc="DAACB570">
      <w:numFmt w:val="bullet"/>
      <w:lvlText w:val=""/>
      <w:lvlJc w:val="left"/>
      <w:pPr>
        <w:ind w:left="820" w:hanging="360"/>
      </w:pPr>
      <w:rPr>
        <w:rFonts w:ascii="Symbol" w:eastAsia="Symbol" w:hAnsi="Symbol" w:cs="Symbol" w:hint="default"/>
        <w:w w:val="99"/>
        <w:sz w:val="24"/>
        <w:szCs w:val="24"/>
        <w:lang w:val="en-US" w:eastAsia="en-US" w:bidi="en-US"/>
      </w:rPr>
    </w:lvl>
    <w:lvl w:ilvl="2" w:tplc="0150DBA4">
      <w:numFmt w:val="bullet"/>
      <w:lvlText w:val="•"/>
      <w:lvlJc w:val="left"/>
      <w:pPr>
        <w:ind w:left="1753" w:hanging="360"/>
      </w:pPr>
      <w:rPr>
        <w:rFonts w:hint="default"/>
        <w:lang w:val="en-US" w:eastAsia="en-US" w:bidi="en-US"/>
      </w:rPr>
    </w:lvl>
    <w:lvl w:ilvl="3" w:tplc="DE54CA1C">
      <w:numFmt w:val="bullet"/>
      <w:lvlText w:val="•"/>
      <w:lvlJc w:val="left"/>
      <w:pPr>
        <w:ind w:left="2686" w:hanging="360"/>
      </w:pPr>
      <w:rPr>
        <w:rFonts w:hint="default"/>
        <w:lang w:val="en-US" w:eastAsia="en-US" w:bidi="en-US"/>
      </w:rPr>
    </w:lvl>
    <w:lvl w:ilvl="4" w:tplc="441A2BAE">
      <w:numFmt w:val="bullet"/>
      <w:lvlText w:val="•"/>
      <w:lvlJc w:val="left"/>
      <w:pPr>
        <w:ind w:left="3620" w:hanging="360"/>
      </w:pPr>
      <w:rPr>
        <w:rFonts w:hint="default"/>
        <w:lang w:val="en-US" w:eastAsia="en-US" w:bidi="en-US"/>
      </w:rPr>
    </w:lvl>
    <w:lvl w:ilvl="5" w:tplc="17D2436A">
      <w:numFmt w:val="bullet"/>
      <w:lvlText w:val="•"/>
      <w:lvlJc w:val="left"/>
      <w:pPr>
        <w:ind w:left="4553" w:hanging="360"/>
      </w:pPr>
      <w:rPr>
        <w:rFonts w:hint="default"/>
        <w:lang w:val="en-US" w:eastAsia="en-US" w:bidi="en-US"/>
      </w:rPr>
    </w:lvl>
    <w:lvl w:ilvl="6" w:tplc="984406D4">
      <w:numFmt w:val="bullet"/>
      <w:lvlText w:val="•"/>
      <w:lvlJc w:val="left"/>
      <w:pPr>
        <w:ind w:left="5486" w:hanging="360"/>
      </w:pPr>
      <w:rPr>
        <w:rFonts w:hint="default"/>
        <w:lang w:val="en-US" w:eastAsia="en-US" w:bidi="en-US"/>
      </w:rPr>
    </w:lvl>
    <w:lvl w:ilvl="7" w:tplc="717876E4">
      <w:numFmt w:val="bullet"/>
      <w:lvlText w:val="•"/>
      <w:lvlJc w:val="left"/>
      <w:pPr>
        <w:ind w:left="6420" w:hanging="360"/>
      </w:pPr>
      <w:rPr>
        <w:rFonts w:hint="default"/>
        <w:lang w:val="en-US" w:eastAsia="en-US" w:bidi="en-US"/>
      </w:rPr>
    </w:lvl>
    <w:lvl w:ilvl="8" w:tplc="AACA9BA0">
      <w:numFmt w:val="bullet"/>
      <w:lvlText w:val="•"/>
      <w:lvlJc w:val="left"/>
      <w:pPr>
        <w:ind w:left="7353" w:hanging="360"/>
      </w:pPr>
      <w:rPr>
        <w:rFonts w:hint="default"/>
        <w:lang w:val="en-US" w:eastAsia="en-US" w:bidi="en-US"/>
      </w:rPr>
    </w:lvl>
  </w:abstractNum>
  <w:abstractNum w:abstractNumId="1">
    <w:nsid w:val="2652449F"/>
    <w:multiLevelType w:val="hybridMultilevel"/>
    <w:tmpl w:val="811A523E"/>
    <w:lvl w:ilvl="0" w:tplc="64EAFA8E">
      <w:start w:val="1"/>
      <w:numFmt w:val="upperRoman"/>
      <w:lvlText w:val="%1."/>
      <w:lvlJc w:val="left"/>
      <w:pPr>
        <w:ind w:left="1180" w:hanging="720"/>
        <w:jc w:val="left"/>
      </w:pPr>
      <w:rPr>
        <w:rFonts w:ascii="Calibri" w:eastAsia="Calibri" w:hAnsi="Calibri" w:cs="Calibri" w:hint="default"/>
        <w:i/>
        <w:spacing w:val="-7"/>
        <w:w w:val="99"/>
        <w:sz w:val="22"/>
        <w:szCs w:val="22"/>
        <w:lang w:val="en-US" w:eastAsia="en-US" w:bidi="en-US"/>
      </w:rPr>
    </w:lvl>
    <w:lvl w:ilvl="1" w:tplc="9BBE746E">
      <w:numFmt w:val="bullet"/>
      <w:lvlText w:val="•"/>
      <w:lvlJc w:val="left"/>
      <w:pPr>
        <w:ind w:left="1984" w:hanging="720"/>
      </w:pPr>
      <w:rPr>
        <w:rFonts w:hint="default"/>
        <w:lang w:val="en-US" w:eastAsia="en-US" w:bidi="en-US"/>
      </w:rPr>
    </w:lvl>
    <w:lvl w:ilvl="2" w:tplc="06F66908">
      <w:numFmt w:val="bullet"/>
      <w:lvlText w:val="•"/>
      <w:lvlJc w:val="left"/>
      <w:pPr>
        <w:ind w:left="2788" w:hanging="720"/>
      </w:pPr>
      <w:rPr>
        <w:rFonts w:hint="default"/>
        <w:lang w:val="en-US" w:eastAsia="en-US" w:bidi="en-US"/>
      </w:rPr>
    </w:lvl>
    <w:lvl w:ilvl="3" w:tplc="E1DC740E">
      <w:numFmt w:val="bullet"/>
      <w:lvlText w:val="•"/>
      <w:lvlJc w:val="left"/>
      <w:pPr>
        <w:ind w:left="3592" w:hanging="720"/>
      </w:pPr>
      <w:rPr>
        <w:rFonts w:hint="default"/>
        <w:lang w:val="en-US" w:eastAsia="en-US" w:bidi="en-US"/>
      </w:rPr>
    </w:lvl>
    <w:lvl w:ilvl="4" w:tplc="9D30BA38">
      <w:numFmt w:val="bullet"/>
      <w:lvlText w:val="•"/>
      <w:lvlJc w:val="left"/>
      <w:pPr>
        <w:ind w:left="4396" w:hanging="720"/>
      </w:pPr>
      <w:rPr>
        <w:rFonts w:hint="default"/>
        <w:lang w:val="en-US" w:eastAsia="en-US" w:bidi="en-US"/>
      </w:rPr>
    </w:lvl>
    <w:lvl w:ilvl="5" w:tplc="665419D2">
      <w:numFmt w:val="bullet"/>
      <w:lvlText w:val="•"/>
      <w:lvlJc w:val="left"/>
      <w:pPr>
        <w:ind w:left="5200" w:hanging="720"/>
      </w:pPr>
      <w:rPr>
        <w:rFonts w:hint="default"/>
        <w:lang w:val="en-US" w:eastAsia="en-US" w:bidi="en-US"/>
      </w:rPr>
    </w:lvl>
    <w:lvl w:ilvl="6" w:tplc="002253C4">
      <w:numFmt w:val="bullet"/>
      <w:lvlText w:val="•"/>
      <w:lvlJc w:val="left"/>
      <w:pPr>
        <w:ind w:left="6004" w:hanging="720"/>
      </w:pPr>
      <w:rPr>
        <w:rFonts w:hint="default"/>
        <w:lang w:val="en-US" w:eastAsia="en-US" w:bidi="en-US"/>
      </w:rPr>
    </w:lvl>
    <w:lvl w:ilvl="7" w:tplc="12F82C48">
      <w:numFmt w:val="bullet"/>
      <w:lvlText w:val="•"/>
      <w:lvlJc w:val="left"/>
      <w:pPr>
        <w:ind w:left="6808" w:hanging="720"/>
      </w:pPr>
      <w:rPr>
        <w:rFonts w:hint="default"/>
        <w:lang w:val="en-US" w:eastAsia="en-US" w:bidi="en-US"/>
      </w:rPr>
    </w:lvl>
    <w:lvl w:ilvl="8" w:tplc="32FC7524">
      <w:numFmt w:val="bullet"/>
      <w:lvlText w:val="•"/>
      <w:lvlJc w:val="left"/>
      <w:pPr>
        <w:ind w:left="7612" w:hanging="720"/>
      </w:pPr>
      <w:rPr>
        <w:rFonts w:hint="default"/>
        <w:lang w:val="en-US" w:eastAsia="en-US" w:bidi="en-US"/>
      </w:rPr>
    </w:lvl>
  </w:abstractNum>
  <w:abstractNum w:abstractNumId="2">
    <w:nsid w:val="3B712C82"/>
    <w:multiLevelType w:val="hybridMultilevel"/>
    <w:tmpl w:val="8404FC78"/>
    <w:lvl w:ilvl="0" w:tplc="4F20E204">
      <w:numFmt w:val="bullet"/>
      <w:lvlText w:val=""/>
      <w:lvlJc w:val="left"/>
      <w:pPr>
        <w:ind w:left="460" w:hanging="360"/>
      </w:pPr>
      <w:rPr>
        <w:rFonts w:ascii="Symbol" w:eastAsia="Symbol" w:hAnsi="Symbol" w:cs="Symbol" w:hint="default"/>
        <w:w w:val="99"/>
        <w:sz w:val="24"/>
        <w:szCs w:val="24"/>
        <w:lang w:val="en-US" w:eastAsia="en-US" w:bidi="en-US"/>
      </w:rPr>
    </w:lvl>
    <w:lvl w:ilvl="1" w:tplc="5822A8AE">
      <w:numFmt w:val="bullet"/>
      <w:lvlText w:val="•"/>
      <w:lvlJc w:val="left"/>
      <w:pPr>
        <w:ind w:left="1336" w:hanging="360"/>
      </w:pPr>
      <w:rPr>
        <w:rFonts w:hint="default"/>
        <w:lang w:val="en-US" w:eastAsia="en-US" w:bidi="en-US"/>
      </w:rPr>
    </w:lvl>
    <w:lvl w:ilvl="2" w:tplc="A120E874">
      <w:numFmt w:val="bullet"/>
      <w:lvlText w:val="•"/>
      <w:lvlJc w:val="left"/>
      <w:pPr>
        <w:ind w:left="2212" w:hanging="360"/>
      </w:pPr>
      <w:rPr>
        <w:rFonts w:hint="default"/>
        <w:lang w:val="en-US" w:eastAsia="en-US" w:bidi="en-US"/>
      </w:rPr>
    </w:lvl>
    <w:lvl w:ilvl="3" w:tplc="5A5042EC">
      <w:numFmt w:val="bullet"/>
      <w:lvlText w:val="•"/>
      <w:lvlJc w:val="left"/>
      <w:pPr>
        <w:ind w:left="3088" w:hanging="360"/>
      </w:pPr>
      <w:rPr>
        <w:rFonts w:hint="default"/>
        <w:lang w:val="en-US" w:eastAsia="en-US" w:bidi="en-US"/>
      </w:rPr>
    </w:lvl>
    <w:lvl w:ilvl="4" w:tplc="C3AC5874">
      <w:numFmt w:val="bullet"/>
      <w:lvlText w:val="•"/>
      <w:lvlJc w:val="left"/>
      <w:pPr>
        <w:ind w:left="3964" w:hanging="360"/>
      </w:pPr>
      <w:rPr>
        <w:rFonts w:hint="default"/>
        <w:lang w:val="en-US" w:eastAsia="en-US" w:bidi="en-US"/>
      </w:rPr>
    </w:lvl>
    <w:lvl w:ilvl="5" w:tplc="B016F038">
      <w:numFmt w:val="bullet"/>
      <w:lvlText w:val="•"/>
      <w:lvlJc w:val="left"/>
      <w:pPr>
        <w:ind w:left="4840" w:hanging="360"/>
      </w:pPr>
      <w:rPr>
        <w:rFonts w:hint="default"/>
        <w:lang w:val="en-US" w:eastAsia="en-US" w:bidi="en-US"/>
      </w:rPr>
    </w:lvl>
    <w:lvl w:ilvl="6" w:tplc="16AC41E8">
      <w:numFmt w:val="bullet"/>
      <w:lvlText w:val="•"/>
      <w:lvlJc w:val="left"/>
      <w:pPr>
        <w:ind w:left="5716" w:hanging="360"/>
      </w:pPr>
      <w:rPr>
        <w:rFonts w:hint="default"/>
        <w:lang w:val="en-US" w:eastAsia="en-US" w:bidi="en-US"/>
      </w:rPr>
    </w:lvl>
    <w:lvl w:ilvl="7" w:tplc="C53C0F52">
      <w:numFmt w:val="bullet"/>
      <w:lvlText w:val="•"/>
      <w:lvlJc w:val="left"/>
      <w:pPr>
        <w:ind w:left="6592" w:hanging="360"/>
      </w:pPr>
      <w:rPr>
        <w:rFonts w:hint="default"/>
        <w:lang w:val="en-US" w:eastAsia="en-US" w:bidi="en-US"/>
      </w:rPr>
    </w:lvl>
    <w:lvl w:ilvl="8" w:tplc="28603A2A">
      <w:numFmt w:val="bullet"/>
      <w:lvlText w:val="•"/>
      <w:lvlJc w:val="left"/>
      <w:pPr>
        <w:ind w:left="7468" w:hanging="360"/>
      </w:pPr>
      <w:rPr>
        <w:rFonts w:hint="default"/>
        <w:lang w:val="en-US" w:eastAsia="en-US" w:bidi="en-US"/>
      </w:rPr>
    </w:lvl>
  </w:abstractNum>
  <w:abstractNum w:abstractNumId="3">
    <w:nsid w:val="538C6591"/>
    <w:multiLevelType w:val="hybridMultilevel"/>
    <w:tmpl w:val="5D9471FE"/>
    <w:lvl w:ilvl="0" w:tplc="A9AA6692">
      <w:start w:val="1"/>
      <w:numFmt w:val="decimal"/>
      <w:lvlText w:val="%1."/>
      <w:lvlJc w:val="left"/>
      <w:pPr>
        <w:ind w:left="460" w:hanging="360"/>
        <w:jc w:val="left"/>
      </w:pPr>
      <w:rPr>
        <w:rFonts w:ascii="Calibri" w:eastAsia="Calibri" w:hAnsi="Calibri" w:cs="Calibri" w:hint="default"/>
        <w:b/>
        <w:bCs/>
        <w:spacing w:val="-2"/>
        <w:w w:val="100"/>
        <w:sz w:val="22"/>
        <w:szCs w:val="22"/>
        <w:lang w:val="en-US" w:eastAsia="en-US" w:bidi="en-US"/>
      </w:rPr>
    </w:lvl>
    <w:lvl w:ilvl="1" w:tplc="6116FEB4">
      <w:start w:val="1"/>
      <w:numFmt w:val="lowerLetter"/>
      <w:lvlText w:val="(%2)"/>
      <w:lvlJc w:val="left"/>
      <w:pPr>
        <w:ind w:left="820" w:hanging="360"/>
        <w:jc w:val="left"/>
      </w:pPr>
      <w:rPr>
        <w:rFonts w:ascii="Calibri" w:eastAsia="Calibri" w:hAnsi="Calibri" w:cs="Calibri" w:hint="default"/>
        <w:w w:val="100"/>
        <w:sz w:val="22"/>
        <w:szCs w:val="22"/>
        <w:lang w:val="en-US" w:eastAsia="en-US" w:bidi="en-US"/>
      </w:rPr>
    </w:lvl>
    <w:lvl w:ilvl="2" w:tplc="0E869012">
      <w:numFmt w:val="bullet"/>
      <w:lvlText w:val="•"/>
      <w:lvlJc w:val="left"/>
      <w:pPr>
        <w:ind w:left="1753" w:hanging="360"/>
      </w:pPr>
      <w:rPr>
        <w:rFonts w:hint="default"/>
        <w:lang w:val="en-US" w:eastAsia="en-US" w:bidi="en-US"/>
      </w:rPr>
    </w:lvl>
    <w:lvl w:ilvl="3" w:tplc="7C0659F2">
      <w:numFmt w:val="bullet"/>
      <w:lvlText w:val="•"/>
      <w:lvlJc w:val="left"/>
      <w:pPr>
        <w:ind w:left="2686" w:hanging="360"/>
      </w:pPr>
      <w:rPr>
        <w:rFonts w:hint="default"/>
        <w:lang w:val="en-US" w:eastAsia="en-US" w:bidi="en-US"/>
      </w:rPr>
    </w:lvl>
    <w:lvl w:ilvl="4" w:tplc="EE8ACD6A">
      <w:numFmt w:val="bullet"/>
      <w:lvlText w:val="•"/>
      <w:lvlJc w:val="left"/>
      <w:pPr>
        <w:ind w:left="3620" w:hanging="360"/>
      </w:pPr>
      <w:rPr>
        <w:rFonts w:hint="default"/>
        <w:lang w:val="en-US" w:eastAsia="en-US" w:bidi="en-US"/>
      </w:rPr>
    </w:lvl>
    <w:lvl w:ilvl="5" w:tplc="DEC23D7E">
      <w:numFmt w:val="bullet"/>
      <w:lvlText w:val="•"/>
      <w:lvlJc w:val="left"/>
      <w:pPr>
        <w:ind w:left="4553" w:hanging="360"/>
      </w:pPr>
      <w:rPr>
        <w:rFonts w:hint="default"/>
        <w:lang w:val="en-US" w:eastAsia="en-US" w:bidi="en-US"/>
      </w:rPr>
    </w:lvl>
    <w:lvl w:ilvl="6" w:tplc="7180B406">
      <w:numFmt w:val="bullet"/>
      <w:lvlText w:val="•"/>
      <w:lvlJc w:val="left"/>
      <w:pPr>
        <w:ind w:left="5486" w:hanging="360"/>
      </w:pPr>
      <w:rPr>
        <w:rFonts w:hint="default"/>
        <w:lang w:val="en-US" w:eastAsia="en-US" w:bidi="en-US"/>
      </w:rPr>
    </w:lvl>
    <w:lvl w:ilvl="7" w:tplc="CED0AF42">
      <w:numFmt w:val="bullet"/>
      <w:lvlText w:val="•"/>
      <w:lvlJc w:val="left"/>
      <w:pPr>
        <w:ind w:left="6420" w:hanging="360"/>
      </w:pPr>
      <w:rPr>
        <w:rFonts w:hint="default"/>
        <w:lang w:val="en-US" w:eastAsia="en-US" w:bidi="en-US"/>
      </w:rPr>
    </w:lvl>
    <w:lvl w:ilvl="8" w:tplc="1DAA58FE">
      <w:numFmt w:val="bullet"/>
      <w:lvlText w:val="•"/>
      <w:lvlJc w:val="left"/>
      <w:pPr>
        <w:ind w:left="7353" w:hanging="360"/>
      </w:pPr>
      <w:rPr>
        <w:rFonts w:hint="default"/>
        <w:lang w:val="en-US" w:eastAsia="en-US" w:bidi="en-US"/>
      </w:rPr>
    </w:lvl>
  </w:abstractNum>
  <w:abstractNum w:abstractNumId="4">
    <w:nsid w:val="58B01DCD"/>
    <w:multiLevelType w:val="hybridMultilevel"/>
    <w:tmpl w:val="E124C5AA"/>
    <w:lvl w:ilvl="0" w:tplc="94A04156">
      <w:start w:val="1"/>
      <w:numFmt w:val="lowerLetter"/>
      <w:lvlText w:val="%1."/>
      <w:lvlJc w:val="left"/>
      <w:pPr>
        <w:ind w:left="311" w:hanging="212"/>
        <w:jc w:val="left"/>
      </w:pPr>
      <w:rPr>
        <w:rFonts w:ascii="Calibri" w:eastAsia="Calibri" w:hAnsi="Calibri" w:cs="Calibri" w:hint="default"/>
        <w:w w:val="100"/>
        <w:sz w:val="22"/>
        <w:szCs w:val="22"/>
        <w:lang w:val="en-US" w:eastAsia="en-US" w:bidi="en-US"/>
      </w:rPr>
    </w:lvl>
    <w:lvl w:ilvl="1" w:tplc="CA0268E8">
      <w:numFmt w:val="bullet"/>
      <w:lvlText w:val="•"/>
      <w:lvlJc w:val="left"/>
      <w:pPr>
        <w:ind w:left="1210" w:hanging="212"/>
      </w:pPr>
      <w:rPr>
        <w:rFonts w:hint="default"/>
        <w:lang w:val="en-US" w:eastAsia="en-US" w:bidi="en-US"/>
      </w:rPr>
    </w:lvl>
    <w:lvl w:ilvl="2" w:tplc="ED72F1D6">
      <w:numFmt w:val="bullet"/>
      <w:lvlText w:val="•"/>
      <w:lvlJc w:val="left"/>
      <w:pPr>
        <w:ind w:left="2100" w:hanging="212"/>
      </w:pPr>
      <w:rPr>
        <w:rFonts w:hint="default"/>
        <w:lang w:val="en-US" w:eastAsia="en-US" w:bidi="en-US"/>
      </w:rPr>
    </w:lvl>
    <w:lvl w:ilvl="3" w:tplc="5AE8E190">
      <w:numFmt w:val="bullet"/>
      <w:lvlText w:val="•"/>
      <w:lvlJc w:val="left"/>
      <w:pPr>
        <w:ind w:left="2990" w:hanging="212"/>
      </w:pPr>
      <w:rPr>
        <w:rFonts w:hint="default"/>
        <w:lang w:val="en-US" w:eastAsia="en-US" w:bidi="en-US"/>
      </w:rPr>
    </w:lvl>
    <w:lvl w:ilvl="4" w:tplc="145A243C">
      <w:numFmt w:val="bullet"/>
      <w:lvlText w:val="•"/>
      <w:lvlJc w:val="left"/>
      <w:pPr>
        <w:ind w:left="3880" w:hanging="212"/>
      </w:pPr>
      <w:rPr>
        <w:rFonts w:hint="default"/>
        <w:lang w:val="en-US" w:eastAsia="en-US" w:bidi="en-US"/>
      </w:rPr>
    </w:lvl>
    <w:lvl w:ilvl="5" w:tplc="5BE61E66">
      <w:numFmt w:val="bullet"/>
      <w:lvlText w:val="•"/>
      <w:lvlJc w:val="left"/>
      <w:pPr>
        <w:ind w:left="4770" w:hanging="212"/>
      </w:pPr>
      <w:rPr>
        <w:rFonts w:hint="default"/>
        <w:lang w:val="en-US" w:eastAsia="en-US" w:bidi="en-US"/>
      </w:rPr>
    </w:lvl>
    <w:lvl w:ilvl="6" w:tplc="B12EC5CC">
      <w:numFmt w:val="bullet"/>
      <w:lvlText w:val="•"/>
      <w:lvlJc w:val="left"/>
      <w:pPr>
        <w:ind w:left="5660" w:hanging="212"/>
      </w:pPr>
      <w:rPr>
        <w:rFonts w:hint="default"/>
        <w:lang w:val="en-US" w:eastAsia="en-US" w:bidi="en-US"/>
      </w:rPr>
    </w:lvl>
    <w:lvl w:ilvl="7" w:tplc="DCA2B082">
      <w:numFmt w:val="bullet"/>
      <w:lvlText w:val="•"/>
      <w:lvlJc w:val="left"/>
      <w:pPr>
        <w:ind w:left="6550" w:hanging="212"/>
      </w:pPr>
      <w:rPr>
        <w:rFonts w:hint="default"/>
        <w:lang w:val="en-US" w:eastAsia="en-US" w:bidi="en-US"/>
      </w:rPr>
    </w:lvl>
    <w:lvl w:ilvl="8" w:tplc="E90C0FB0">
      <w:numFmt w:val="bullet"/>
      <w:lvlText w:val="•"/>
      <w:lvlJc w:val="left"/>
      <w:pPr>
        <w:ind w:left="7440" w:hanging="212"/>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B1727"/>
    <w:rsid w:val="001B1727"/>
    <w:rsid w:val="001F363B"/>
    <w:rsid w:val="00934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727"/>
    <w:rPr>
      <w:rFonts w:ascii="Calibri" w:eastAsia="Calibri" w:hAnsi="Calibri" w:cs="Calibri"/>
      <w:lang w:bidi="en-US"/>
    </w:rPr>
  </w:style>
  <w:style w:type="paragraph" w:styleId="Heading1">
    <w:name w:val="heading 1"/>
    <w:basedOn w:val="Normal"/>
    <w:uiPriority w:val="1"/>
    <w:qFormat/>
    <w:rsid w:val="001B1727"/>
    <w:pPr>
      <w:ind w:left="100"/>
      <w:jc w:val="both"/>
      <w:outlineLvl w:val="0"/>
    </w:pPr>
    <w:rPr>
      <w:sz w:val="24"/>
      <w:szCs w:val="24"/>
    </w:rPr>
  </w:style>
  <w:style w:type="paragraph" w:styleId="Heading2">
    <w:name w:val="heading 2"/>
    <w:basedOn w:val="Normal"/>
    <w:uiPriority w:val="1"/>
    <w:qFormat/>
    <w:rsid w:val="001B1727"/>
    <w:pPr>
      <w:ind w:left="46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727"/>
  </w:style>
  <w:style w:type="paragraph" w:styleId="ListParagraph">
    <w:name w:val="List Paragraph"/>
    <w:basedOn w:val="Normal"/>
    <w:uiPriority w:val="1"/>
    <w:qFormat/>
    <w:rsid w:val="001B1727"/>
    <w:pPr>
      <w:ind w:left="460" w:hanging="360"/>
    </w:pPr>
  </w:style>
  <w:style w:type="paragraph" w:customStyle="1" w:styleId="TableParagraph">
    <w:name w:val="Table Paragraph"/>
    <w:basedOn w:val="Normal"/>
    <w:uiPriority w:val="1"/>
    <w:qFormat/>
    <w:rsid w:val="001B1727"/>
  </w:style>
  <w:style w:type="paragraph" w:customStyle="1" w:styleId="Default">
    <w:name w:val="Default"/>
    <w:rsid w:val="00934021"/>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RTP Policy</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RTP Policy</dc:title>
  <dc:creator>a</dc:creator>
  <cp:lastModifiedBy>lenovo</cp:lastModifiedBy>
  <cp:revision>2</cp:revision>
  <dcterms:created xsi:type="dcterms:W3CDTF">2019-12-12T07:31:00Z</dcterms:created>
  <dcterms:modified xsi:type="dcterms:W3CDTF">2019-12-12T08:12:00Z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Microsoft Word - RTP Policy</vt:lpwstr>
  </property>
  <property fmtid="{D5CDD505-2E9C-101B-9397-08002B2CF9AE}" pid="4" name="LastSaved">
    <vt:filetime>2015-04-28T00:00:00Z</vt:filetime>
  </property>
</Properties>
</file>